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38DB" w14:textId="553BBC96" w:rsidR="00CF2232" w:rsidRPr="00C96720" w:rsidRDefault="009776E0">
      <w:pPr>
        <w:rPr>
          <w:rFonts w:asciiTheme="majorHAnsi" w:hAnsiTheme="majorHAnsi" w:cstheme="majorHAnsi"/>
          <w:sz w:val="22"/>
          <w:szCs w:val="22"/>
          <w:lang w:val="es-MX"/>
        </w:rPr>
      </w:pPr>
      <w:r w:rsidRPr="00C96720">
        <w:rPr>
          <w:rFonts w:asciiTheme="majorHAnsi" w:hAnsiTheme="majorHAnsi" w:cstheme="majorHAnsi"/>
          <w:sz w:val="22"/>
          <w:szCs w:val="22"/>
          <w:lang w:val="es-MX"/>
        </w:rPr>
        <w:t xml:space="preserve">A la </w:t>
      </w:r>
      <w:r w:rsidR="000F6291" w:rsidRPr="00C96720">
        <w:rPr>
          <w:rFonts w:asciiTheme="majorHAnsi" w:hAnsiTheme="majorHAnsi" w:cstheme="majorHAnsi"/>
          <w:sz w:val="22"/>
          <w:szCs w:val="22"/>
          <w:lang w:val="es-MX"/>
        </w:rPr>
        <w:t>Familia</w:t>
      </w:r>
      <w:r w:rsidRPr="00C96720">
        <w:rPr>
          <w:rFonts w:asciiTheme="majorHAnsi" w:hAnsiTheme="majorHAnsi" w:cstheme="majorHAnsi"/>
          <w:sz w:val="22"/>
          <w:szCs w:val="22"/>
          <w:lang w:val="es-MX"/>
        </w:rPr>
        <w:t xml:space="preserve"> de </w:t>
      </w:r>
      <w:r w:rsidR="002C5896" w:rsidRPr="00F55FE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Student Name"/>
            </w:textInput>
          </w:ffData>
        </w:fldChar>
      </w:r>
      <w:r w:rsidR="002C5896" w:rsidRPr="00C96720">
        <w:rPr>
          <w:rFonts w:asciiTheme="majorHAnsi" w:hAnsiTheme="majorHAnsi" w:cstheme="majorHAnsi"/>
          <w:sz w:val="22"/>
          <w:szCs w:val="22"/>
          <w:lang w:val="es-MX"/>
        </w:rPr>
        <w:instrText xml:space="preserve"> FORMTEXT </w:instrText>
      </w:r>
      <w:r w:rsidR="002C5896" w:rsidRPr="00F55FEA">
        <w:rPr>
          <w:rFonts w:asciiTheme="majorHAnsi" w:hAnsiTheme="majorHAnsi" w:cstheme="majorHAnsi"/>
          <w:sz w:val="22"/>
          <w:szCs w:val="22"/>
        </w:rPr>
      </w:r>
      <w:r w:rsidR="002C5896" w:rsidRPr="00F55FEA">
        <w:rPr>
          <w:rFonts w:asciiTheme="majorHAnsi" w:hAnsiTheme="majorHAnsi" w:cstheme="majorHAnsi"/>
          <w:sz w:val="22"/>
          <w:szCs w:val="22"/>
        </w:rPr>
        <w:fldChar w:fldCharType="separate"/>
      </w:r>
      <w:r w:rsidR="002C5896" w:rsidRPr="00C96720">
        <w:rPr>
          <w:rFonts w:asciiTheme="majorHAnsi" w:hAnsiTheme="majorHAnsi" w:cstheme="majorHAnsi"/>
          <w:noProof/>
          <w:sz w:val="22"/>
          <w:szCs w:val="22"/>
          <w:lang w:val="es-MX"/>
        </w:rPr>
        <w:t>Student Name</w:t>
      </w:r>
      <w:r w:rsidR="002C5896" w:rsidRPr="00F55FEA">
        <w:rPr>
          <w:rFonts w:asciiTheme="majorHAnsi" w:hAnsiTheme="majorHAnsi" w:cstheme="majorHAnsi"/>
          <w:sz w:val="22"/>
          <w:szCs w:val="22"/>
        </w:rPr>
        <w:fldChar w:fldCharType="end"/>
      </w:r>
      <w:r w:rsidR="002C5896" w:rsidRPr="00C96720">
        <w:rPr>
          <w:rFonts w:asciiTheme="majorHAnsi" w:hAnsiTheme="majorHAnsi" w:cstheme="majorHAnsi"/>
          <w:sz w:val="22"/>
          <w:szCs w:val="22"/>
          <w:lang w:val="es-MX"/>
        </w:rPr>
        <w:t>:</w:t>
      </w:r>
    </w:p>
    <w:p w14:paraId="0C71BA87" w14:textId="77777777" w:rsidR="003210DC" w:rsidRPr="00C96720" w:rsidRDefault="003210DC">
      <w:pPr>
        <w:rPr>
          <w:rFonts w:asciiTheme="majorHAnsi" w:hAnsiTheme="majorHAnsi" w:cstheme="majorHAnsi"/>
          <w:sz w:val="22"/>
          <w:szCs w:val="22"/>
          <w:lang w:val="es-MX"/>
        </w:rPr>
      </w:pPr>
    </w:p>
    <w:p w14:paraId="22C75D0F" w14:textId="323F0884" w:rsidR="00452492" w:rsidRPr="00C96720" w:rsidRDefault="006D409B" w:rsidP="0008097D">
      <w:pPr>
        <w:rPr>
          <w:rFonts w:asciiTheme="majorHAnsi" w:hAnsiTheme="majorHAnsi" w:cstheme="majorHAnsi"/>
          <w:sz w:val="22"/>
          <w:szCs w:val="22"/>
          <w:lang w:val="es-MX"/>
        </w:rPr>
      </w:pPr>
      <w:r w:rsidRPr="006D409B">
        <w:rPr>
          <w:rFonts w:asciiTheme="majorHAnsi" w:hAnsiTheme="majorHAnsi" w:cstheme="majorHAnsi"/>
          <w:sz w:val="22"/>
          <w:szCs w:val="22"/>
          <w:lang w:val="es-MX"/>
        </w:rPr>
        <w:t xml:space="preserve">Queríamos que usted y su familia </w:t>
      </w:r>
      <w:r w:rsidR="00C96720">
        <w:rPr>
          <w:rFonts w:asciiTheme="majorHAnsi" w:hAnsiTheme="majorHAnsi" w:cstheme="majorHAnsi"/>
          <w:sz w:val="22"/>
          <w:szCs w:val="22"/>
          <w:lang w:val="es-MX"/>
        </w:rPr>
        <w:t>sepan de</w:t>
      </w:r>
      <w:r w:rsidRPr="006D409B">
        <w:rPr>
          <w:rFonts w:asciiTheme="majorHAnsi" w:hAnsiTheme="majorHAnsi" w:cstheme="majorHAnsi"/>
          <w:sz w:val="22"/>
          <w:szCs w:val="22"/>
          <w:lang w:val="es-MX"/>
        </w:rPr>
        <w:t xml:space="preserve"> una gran oportunidad para usted. La Agencia de Educación de Texas (TEA) ha creado un programa llamado Servicios </w:t>
      </w:r>
      <w:r>
        <w:rPr>
          <w:rFonts w:asciiTheme="majorHAnsi" w:hAnsiTheme="majorHAnsi" w:cstheme="majorHAnsi"/>
          <w:sz w:val="22"/>
          <w:szCs w:val="22"/>
          <w:lang w:val="es-MX"/>
        </w:rPr>
        <w:t xml:space="preserve">Suplementarios </w:t>
      </w:r>
      <w:r w:rsidRPr="006D409B">
        <w:rPr>
          <w:rFonts w:asciiTheme="majorHAnsi" w:hAnsiTheme="majorHAnsi" w:cstheme="majorHAnsi"/>
          <w:sz w:val="22"/>
          <w:szCs w:val="22"/>
          <w:lang w:val="es-MX"/>
        </w:rPr>
        <w:t>de Educación E</w:t>
      </w:r>
      <w:r w:rsidR="00C41DEC">
        <w:rPr>
          <w:rFonts w:asciiTheme="majorHAnsi" w:hAnsiTheme="majorHAnsi" w:cstheme="majorHAnsi"/>
          <w:sz w:val="22"/>
          <w:szCs w:val="22"/>
          <w:lang w:val="es-MX"/>
        </w:rPr>
        <w:t>special</w:t>
      </w:r>
      <w:r w:rsidRPr="006D409B">
        <w:rPr>
          <w:rFonts w:asciiTheme="majorHAnsi" w:hAnsiTheme="majorHAnsi" w:cstheme="majorHAnsi"/>
          <w:sz w:val="22"/>
          <w:szCs w:val="22"/>
          <w:lang w:val="es-MX"/>
        </w:rPr>
        <w:t xml:space="preserve"> (SSES). Este programa está diseñado para ayudar a las familias durante la pandemia de COVID. Los estudiantes que están actualmente matriculados en una escuela pública de Texas y que reciben educación especial califican. </w:t>
      </w:r>
      <w:r w:rsidR="00100225" w:rsidRPr="00100225">
        <w:rPr>
          <w:b/>
          <w:bCs/>
          <w:color w:val="0D6CB9" w:themeColor="accent1"/>
          <w:sz w:val="22"/>
          <w:szCs w:val="22"/>
          <w:lang w:val="es-MX"/>
        </w:rPr>
        <w:t xml:space="preserve">Hemos determinado que su estudiante / familia probablemente califique para el programa SSES. </w:t>
      </w:r>
    </w:p>
    <w:p w14:paraId="0895E674" w14:textId="77777777" w:rsidR="00452492" w:rsidRPr="00C96720" w:rsidRDefault="00452492">
      <w:pPr>
        <w:rPr>
          <w:lang w:val="es-MX"/>
        </w:rPr>
      </w:pPr>
    </w:p>
    <w:p w14:paraId="433DBCC7" w14:textId="37CAC197" w:rsidR="00CF2232" w:rsidRPr="00C96720" w:rsidRDefault="0078046A" w:rsidP="00763067">
      <w:pPr>
        <w:rPr>
          <w:rFonts w:cs="Open Sans"/>
          <w:b/>
          <w:bCs/>
          <w:color w:val="0D6CB9" w:themeColor="accent1"/>
          <w:sz w:val="22"/>
          <w:szCs w:val="22"/>
          <w:lang w:val="es-MX"/>
        </w:rPr>
      </w:pPr>
      <w:r w:rsidRPr="0078046A">
        <w:rPr>
          <w:rFonts w:asciiTheme="majorHAnsi" w:hAnsiTheme="majorHAnsi" w:cstheme="majorHAnsi"/>
          <w:sz w:val="22"/>
          <w:szCs w:val="22"/>
          <w:lang w:val="es-MX"/>
        </w:rPr>
        <w:t xml:space="preserve">Los créditos SSES son </w:t>
      </w:r>
      <w:r w:rsidR="00B81572" w:rsidRPr="0078046A">
        <w:rPr>
          <w:rFonts w:cstheme="minorHAnsi"/>
          <w:b/>
          <w:bCs/>
          <w:color w:val="B72418" w:themeColor="accent3"/>
          <w:sz w:val="22"/>
          <w:szCs w:val="22"/>
          <w:lang w:val="es-MX"/>
        </w:rPr>
        <w:t>$1,500 p</w:t>
      </w:r>
      <w:r w:rsidR="00B81572">
        <w:rPr>
          <w:rFonts w:cstheme="minorHAnsi"/>
          <w:b/>
          <w:bCs/>
          <w:color w:val="B72418" w:themeColor="accent3"/>
          <w:sz w:val="22"/>
          <w:szCs w:val="22"/>
          <w:lang w:val="es-MX"/>
        </w:rPr>
        <w:t>or estudiante</w:t>
      </w:r>
      <w:r w:rsidR="00B81572" w:rsidRPr="0078046A">
        <w:rPr>
          <w:rFonts w:cstheme="minorHAnsi"/>
          <w:b/>
          <w:bCs/>
          <w:color w:val="B72418" w:themeColor="accent3"/>
          <w:sz w:val="22"/>
          <w:szCs w:val="22"/>
          <w:lang w:val="es-MX"/>
        </w:rPr>
        <w:t xml:space="preserve"> el</w:t>
      </w:r>
      <w:r w:rsidR="00B81572">
        <w:rPr>
          <w:rFonts w:cstheme="minorHAnsi"/>
          <w:b/>
          <w:bCs/>
          <w:color w:val="B72418" w:themeColor="accent3"/>
          <w:sz w:val="22"/>
          <w:szCs w:val="22"/>
          <w:lang w:val="es-MX"/>
        </w:rPr>
        <w:t>e</w:t>
      </w:r>
      <w:r w:rsidR="00B81572" w:rsidRPr="0078046A">
        <w:rPr>
          <w:rFonts w:cstheme="minorHAnsi"/>
          <w:b/>
          <w:bCs/>
          <w:color w:val="B72418" w:themeColor="accent3"/>
          <w:sz w:val="22"/>
          <w:szCs w:val="22"/>
          <w:lang w:val="es-MX"/>
        </w:rPr>
        <w:t>gible</w:t>
      </w:r>
      <w:r w:rsidR="004338D2">
        <w:rPr>
          <w:rFonts w:cstheme="minorHAnsi"/>
          <w:b/>
          <w:bCs/>
          <w:color w:val="B72418" w:themeColor="accent3"/>
          <w:sz w:val="22"/>
          <w:szCs w:val="22"/>
          <w:lang w:val="es-MX"/>
        </w:rPr>
        <w:t>.</w:t>
      </w:r>
      <w:r w:rsidR="00B81572" w:rsidRPr="0078046A">
        <w:rPr>
          <w:rFonts w:cstheme="minorHAnsi"/>
          <w:b/>
          <w:bCs/>
          <w:color w:val="B72418" w:themeColor="accent3"/>
          <w:sz w:val="22"/>
          <w:szCs w:val="22"/>
          <w:lang w:val="es-MX"/>
        </w:rPr>
        <w:t xml:space="preserve"> </w:t>
      </w:r>
      <w:r w:rsidR="004338D2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  <w:r w:rsidRPr="0078046A">
        <w:rPr>
          <w:rFonts w:asciiTheme="majorHAnsi" w:hAnsiTheme="majorHAnsi" w:cstheme="majorHAnsi"/>
          <w:sz w:val="22"/>
          <w:szCs w:val="22"/>
          <w:lang w:val="es-MX"/>
        </w:rPr>
        <w:t>Si se les otorga una cuenta, las familias de los estudiantes elegibles pueden usar estas cuentas en línea para</w:t>
      </w:r>
      <w:r w:rsidR="00B77B17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  <w:r w:rsidR="00B77B17" w:rsidRPr="00B77B17">
        <w:rPr>
          <w:rFonts w:cs="Open Sans"/>
          <w:b/>
          <w:bCs/>
          <w:color w:val="0D6CB9" w:themeColor="accent1"/>
          <w:sz w:val="22"/>
          <w:szCs w:val="22"/>
          <w:lang w:val="es-MX"/>
        </w:rPr>
        <w:t xml:space="preserve">obtener materiales y recursos educativos, tales como: </w:t>
      </w:r>
    </w:p>
    <w:p w14:paraId="49B45233" w14:textId="77777777" w:rsidR="00986A8F" w:rsidRDefault="00285DB7" w:rsidP="00986A8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  <w:lang w:val="es-MX"/>
        </w:rPr>
      </w:pPr>
      <w:r w:rsidRPr="00C715E4">
        <w:rPr>
          <w:rFonts w:asciiTheme="majorHAnsi" w:hAnsiTheme="majorHAnsi" w:cstheme="majorHAnsi"/>
          <w:sz w:val="22"/>
          <w:szCs w:val="22"/>
          <w:lang w:val="es-MX"/>
        </w:rPr>
        <w:t>Tutoría para todas las materias escolares</w:t>
      </w:r>
    </w:p>
    <w:p w14:paraId="17CF72C1" w14:textId="706E11F8" w:rsidR="00986A8F" w:rsidRPr="00986A8F" w:rsidRDefault="00986A8F" w:rsidP="00986A8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  <w:lang w:val="es-MX"/>
        </w:rPr>
      </w:pPr>
      <w:proofErr w:type="spellStart"/>
      <w:r w:rsidRPr="00986A8F">
        <w:rPr>
          <w:rFonts w:asciiTheme="majorHAnsi" w:hAnsiTheme="majorHAnsi" w:cstheme="majorHAnsi"/>
          <w:sz w:val="22"/>
          <w:szCs w:val="22"/>
        </w:rPr>
        <w:t>Servicios</w:t>
      </w:r>
      <w:proofErr w:type="spellEnd"/>
      <w:r w:rsidRPr="00986A8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86A8F">
        <w:rPr>
          <w:rFonts w:asciiTheme="majorHAnsi" w:hAnsiTheme="majorHAnsi" w:cstheme="majorHAnsi"/>
          <w:sz w:val="22"/>
          <w:szCs w:val="22"/>
        </w:rPr>
        <w:t>relacionados</w:t>
      </w:r>
      <w:proofErr w:type="spellEnd"/>
      <w:r w:rsidRPr="00986A8F">
        <w:rPr>
          <w:rFonts w:asciiTheme="majorHAnsi" w:hAnsiTheme="majorHAnsi" w:cstheme="majorHAnsi"/>
          <w:sz w:val="22"/>
          <w:szCs w:val="22"/>
        </w:rPr>
        <w:t xml:space="preserve"> con la </w:t>
      </w:r>
      <w:proofErr w:type="spellStart"/>
      <w:r w:rsidRPr="00986A8F">
        <w:rPr>
          <w:rFonts w:asciiTheme="majorHAnsi" w:hAnsiTheme="majorHAnsi" w:cstheme="majorHAnsi"/>
          <w:sz w:val="22"/>
          <w:szCs w:val="22"/>
        </w:rPr>
        <w:t>educatión</w:t>
      </w:r>
      <w:proofErr w:type="spellEnd"/>
      <w:r w:rsidRPr="00986A8F">
        <w:rPr>
          <w:rFonts w:asciiTheme="majorHAnsi" w:hAnsiTheme="majorHAnsi" w:cstheme="majorHAnsi"/>
          <w:sz w:val="22"/>
          <w:szCs w:val="22"/>
        </w:rPr>
        <w:t xml:space="preserve"> (por </w:t>
      </w:r>
      <w:proofErr w:type="spellStart"/>
      <w:r w:rsidRPr="00986A8F">
        <w:rPr>
          <w:rFonts w:asciiTheme="majorHAnsi" w:hAnsiTheme="majorHAnsi" w:cstheme="majorHAnsi"/>
          <w:sz w:val="22"/>
          <w:szCs w:val="22"/>
        </w:rPr>
        <w:t>ejemplo</w:t>
      </w:r>
      <w:proofErr w:type="spellEnd"/>
      <w:r w:rsidRPr="00986A8F">
        <w:rPr>
          <w:rFonts w:asciiTheme="majorHAnsi" w:hAnsiTheme="majorHAnsi" w:cstheme="majorHAnsi"/>
          <w:sz w:val="22"/>
          <w:szCs w:val="22"/>
        </w:rPr>
        <w:t> </w:t>
      </w:r>
      <w:proofErr w:type="spellStart"/>
      <w:r w:rsidRPr="00986A8F">
        <w:rPr>
          <w:rFonts w:asciiTheme="majorHAnsi" w:hAnsiTheme="majorHAnsi" w:cstheme="majorHAnsi"/>
          <w:sz w:val="22"/>
          <w:szCs w:val="22"/>
        </w:rPr>
        <w:t>terapia</w:t>
      </w:r>
      <w:proofErr w:type="spellEnd"/>
      <w:r w:rsidRPr="00986A8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86A8F">
        <w:rPr>
          <w:rFonts w:asciiTheme="majorHAnsi" w:hAnsiTheme="majorHAnsi" w:cstheme="majorHAnsi"/>
          <w:sz w:val="22"/>
          <w:szCs w:val="22"/>
        </w:rPr>
        <w:t>ocupacional</w:t>
      </w:r>
      <w:proofErr w:type="spellEnd"/>
      <w:r w:rsidRPr="00986A8F">
        <w:rPr>
          <w:rFonts w:asciiTheme="majorHAnsi" w:hAnsiTheme="majorHAnsi" w:cstheme="majorHAnsi"/>
          <w:sz w:val="22"/>
          <w:szCs w:val="22"/>
        </w:rPr>
        <w:t xml:space="preserve"> (OT), </w:t>
      </w:r>
      <w:proofErr w:type="spellStart"/>
      <w:r w:rsidRPr="00986A8F">
        <w:rPr>
          <w:rFonts w:asciiTheme="majorHAnsi" w:hAnsiTheme="majorHAnsi" w:cstheme="majorHAnsi"/>
          <w:sz w:val="22"/>
          <w:szCs w:val="22"/>
        </w:rPr>
        <w:t>fisioterapia</w:t>
      </w:r>
      <w:proofErr w:type="spellEnd"/>
      <w:r w:rsidRPr="00986A8F">
        <w:rPr>
          <w:rFonts w:asciiTheme="majorHAnsi" w:hAnsiTheme="majorHAnsi" w:cstheme="majorHAnsi"/>
          <w:sz w:val="22"/>
          <w:szCs w:val="22"/>
        </w:rPr>
        <w:t xml:space="preserve"> (PT), </w:t>
      </w:r>
      <w:proofErr w:type="spellStart"/>
      <w:r w:rsidRPr="00986A8F">
        <w:rPr>
          <w:rFonts w:asciiTheme="majorHAnsi" w:hAnsiTheme="majorHAnsi" w:cstheme="majorHAnsi"/>
          <w:sz w:val="22"/>
          <w:szCs w:val="22"/>
        </w:rPr>
        <w:t>servicios</w:t>
      </w:r>
      <w:proofErr w:type="spellEnd"/>
      <w:r w:rsidRPr="00986A8F">
        <w:rPr>
          <w:rFonts w:asciiTheme="majorHAnsi" w:hAnsiTheme="majorHAnsi" w:cstheme="majorHAnsi"/>
          <w:sz w:val="22"/>
          <w:szCs w:val="22"/>
        </w:rPr>
        <w:t xml:space="preserve"> del </w:t>
      </w:r>
      <w:proofErr w:type="spellStart"/>
      <w:r w:rsidRPr="00986A8F">
        <w:rPr>
          <w:rFonts w:asciiTheme="majorHAnsi" w:hAnsiTheme="majorHAnsi" w:cstheme="majorHAnsi"/>
          <w:sz w:val="22"/>
          <w:szCs w:val="22"/>
        </w:rPr>
        <w:t>habla</w:t>
      </w:r>
      <w:proofErr w:type="spellEnd"/>
      <w:r w:rsidRPr="00986A8F">
        <w:rPr>
          <w:rFonts w:asciiTheme="majorHAnsi" w:hAnsiTheme="majorHAnsi" w:cstheme="majorHAnsi"/>
          <w:sz w:val="22"/>
          <w:szCs w:val="22"/>
        </w:rPr>
        <w:t xml:space="preserve"> o </w:t>
      </w:r>
      <w:proofErr w:type="spellStart"/>
      <w:r w:rsidRPr="00986A8F">
        <w:rPr>
          <w:rFonts w:asciiTheme="majorHAnsi" w:hAnsiTheme="majorHAnsi" w:cstheme="majorHAnsi"/>
          <w:sz w:val="22"/>
          <w:szCs w:val="22"/>
        </w:rPr>
        <w:t>análisis</w:t>
      </w:r>
      <w:proofErr w:type="spellEnd"/>
      <w:r w:rsidRPr="00986A8F">
        <w:rPr>
          <w:rFonts w:asciiTheme="majorHAnsi" w:hAnsiTheme="majorHAnsi" w:cstheme="majorHAnsi"/>
          <w:sz w:val="22"/>
          <w:szCs w:val="22"/>
        </w:rPr>
        <w:t xml:space="preserve"> de </w:t>
      </w:r>
      <w:proofErr w:type="spellStart"/>
      <w:r w:rsidRPr="00986A8F">
        <w:rPr>
          <w:rFonts w:asciiTheme="majorHAnsi" w:hAnsiTheme="majorHAnsi" w:cstheme="majorHAnsi"/>
          <w:sz w:val="22"/>
          <w:szCs w:val="22"/>
        </w:rPr>
        <w:t>comportamiento</w:t>
      </w:r>
      <w:proofErr w:type="spellEnd"/>
      <w:r w:rsidRPr="00986A8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86A8F">
        <w:rPr>
          <w:rFonts w:asciiTheme="majorHAnsi" w:hAnsiTheme="majorHAnsi" w:cstheme="majorHAnsi"/>
          <w:sz w:val="22"/>
          <w:szCs w:val="22"/>
        </w:rPr>
        <w:t>aplicado</w:t>
      </w:r>
      <w:proofErr w:type="spellEnd"/>
      <w:r w:rsidRPr="00986A8F">
        <w:rPr>
          <w:rFonts w:asciiTheme="majorHAnsi" w:hAnsiTheme="majorHAnsi" w:cstheme="majorHAnsi"/>
          <w:sz w:val="22"/>
          <w:szCs w:val="22"/>
        </w:rPr>
        <w:t xml:space="preserve"> (ABA))</w:t>
      </w:r>
    </w:p>
    <w:p w14:paraId="6A23F0D3" w14:textId="77777777" w:rsidR="009031A6" w:rsidRDefault="00F01480" w:rsidP="0076306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  <w:lang w:val="es-MX"/>
        </w:rPr>
      </w:pPr>
      <w:r w:rsidRPr="00F01480">
        <w:rPr>
          <w:rFonts w:asciiTheme="majorHAnsi" w:hAnsiTheme="majorHAnsi" w:cstheme="majorHAnsi"/>
          <w:sz w:val="22"/>
          <w:szCs w:val="22"/>
          <w:lang w:val="es-MX"/>
        </w:rPr>
        <w:t>Libros de texto, plan de estudios u otros materiales educativos</w:t>
      </w:r>
    </w:p>
    <w:p w14:paraId="0BFCEDCC" w14:textId="7FDAB740" w:rsidR="00A26223" w:rsidRDefault="009031A6" w:rsidP="0076306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  <w:lang w:val="es-MX"/>
        </w:rPr>
      </w:pPr>
      <w:r w:rsidRPr="009031A6">
        <w:rPr>
          <w:rFonts w:asciiTheme="majorHAnsi" w:hAnsiTheme="majorHAnsi" w:cstheme="majorHAnsi"/>
          <w:sz w:val="22"/>
          <w:szCs w:val="22"/>
          <w:lang w:val="es-MX"/>
        </w:rPr>
        <w:t>Hardware de computadora, software u otros dispositivos tecnológicos que se utilizan para necesidades educativas</w:t>
      </w:r>
    </w:p>
    <w:p w14:paraId="04B501F9" w14:textId="77777777" w:rsidR="009031A6" w:rsidRPr="009031A6" w:rsidRDefault="009031A6" w:rsidP="009031A6">
      <w:pPr>
        <w:rPr>
          <w:rFonts w:asciiTheme="majorHAnsi" w:hAnsiTheme="majorHAnsi" w:cstheme="majorHAnsi"/>
          <w:sz w:val="22"/>
          <w:szCs w:val="22"/>
          <w:lang w:val="es-MX"/>
        </w:rPr>
      </w:pPr>
    </w:p>
    <w:p w14:paraId="4FAA2321" w14:textId="266DD86B" w:rsidR="00EB2672" w:rsidRPr="00EB2672" w:rsidRDefault="00EB2672" w:rsidP="00763067">
      <w:pPr>
        <w:rPr>
          <w:rFonts w:cstheme="minorHAnsi"/>
          <w:b/>
          <w:bCs/>
          <w:color w:val="B72418" w:themeColor="accent3"/>
          <w:sz w:val="22"/>
          <w:szCs w:val="22"/>
          <w:lang w:val="es-MX"/>
        </w:rPr>
      </w:pPr>
      <w:r w:rsidRPr="00EB2672">
        <w:rPr>
          <w:rFonts w:cstheme="minorHAnsi"/>
          <w:b/>
          <w:bCs/>
          <w:color w:val="B72418" w:themeColor="accent3"/>
          <w:sz w:val="22"/>
          <w:szCs w:val="22"/>
          <w:lang w:val="es-MX"/>
        </w:rPr>
        <w:t xml:space="preserve">Esta es una subvención única de $1,500 por orden de llegada y los espacios son limitados, solicítelo hoy. </w:t>
      </w:r>
      <w:r w:rsidRPr="00210A73">
        <w:rPr>
          <w:rFonts w:asciiTheme="majorHAnsi" w:hAnsiTheme="majorHAnsi" w:cstheme="majorHAnsi"/>
          <w:sz w:val="22"/>
          <w:szCs w:val="22"/>
          <w:lang w:val="es-MX"/>
        </w:rPr>
        <w:t>Si ya ha solicitado o recibido una subvención SSES, no podrá volver a solicitarla.</w:t>
      </w:r>
    </w:p>
    <w:p w14:paraId="22102D6F" w14:textId="5EBBC092" w:rsidR="00B80E47" w:rsidRPr="00C96720" w:rsidRDefault="00B80E47" w:rsidP="00763067">
      <w:pPr>
        <w:rPr>
          <w:rFonts w:cs="Open Sans"/>
          <w:color w:val="211D1E"/>
          <w:lang w:val="es-MX"/>
        </w:rPr>
      </w:pPr>
    </w:p>
    <w:p w14:paraId="63D77DB9" w14:textId="7D95ABA9" w:rsidR="00D157DF" w:rsidRPr="00CE63AE" w:rsidRDefault="00B77444" w:rsidP="00FF0CAD">
      <w:pPr>
        <w:pBdr>
          <w:top w:val="single" w:sz="6" w:space="1" w:color="B72418" w:themeColor="accent3"/>
          <w:bottom w:val="single" w:sz="6" w:space="1" w:color="B72418" w:themeColor="accent3"/>
        </w:pBdr>
        <w:jc w:val="center"/>
        <w:rPr>
          <w:rFonts w:cs="Open Sans"/>
          <w:b/>
          <w:bCs/>
          <w:color w:val="0D6CB9" w:themeColor="accent1"/>
          <w:lang w:val="es-MX"/>
        </w:rPr>
      </w:pPr>
      <w:r w:rsidRPr="00CE63AE">
        <w:rPr>
          <w:rFonts w:cs="Open Sans"/>
          <w:b/>
          <w:bCs/>
          <w:color w:val="0D6CB9" w:themeColor="accent1"/>
          <w:lang w:val="es-MX"/>
        </w:rPr>
        <w:t xml:space="preserve">Para aplicar para este programa, </w:t>
      </w:r>
      <w:r w:rsidR="00D86E81" w:rsidRPr="00CE63AE">
        <w:rPr>
          <w:rFonts w:cs="Open Sans"/>
          <w:b/>
          <w:bCs/>
          <w:color w:val="0D6CB9" w:themeColor="accent1"/>
          <w:lang w:val="es-MX"/>
        </w:rPr>
        <w:t>siga estos pasos:</w:t>
      </w:r>
    </w:p>
    <w:p w14:paraId="3FCA5734" w14:textId="6E78D044" w:rsidR="00994536" w:rsidRPr="00D357A0" w:rsidRDefault="00677913" w:rsidP="00763067">
      <w:pPr>
        <w:rPr>
          <w:rFonts w:asciiTheme="majorHAnsi" w:hAnsiTheme="majorHAnsi" w:cstheme="majorHAnsi"/>
          <w:sz w:val="22"/>
          <w:szCs w:val="22"/>
          <w:lang w:val="es-MX"/>
        </w:rPr>
      </w:pPr>
      <w:r w:rsidRPr="00D357A0">
        <w:rPr>
          <w:rFonts w:cs="Open Sans"/>
          <w:b/>
          <w:bCs/>
          <w:color w:val="0D6CB9" w:themeColor="accent1"/>
          <w:sz w:val="22"/>
          <w:szCs w:val="22"/>
          <w:lang w:val="es-MX"/>
        </w:rPr>
        <w:t>Paso</w:t>
      </w:r>
      <w:r w:rsidR="00994536" w:rsidRPr="00D357A0">
        <w:rPr>
          <w:rFonts w:cs="Open Sans"/>
          <w:b/>
          <w:bCs/>
          <w:color w:val="0D6CB9" w:themeColor="accent1"/>
          <w:sz w:val="22"/>
          <w:szCs w:val="22"/>
          <w:lang w:val="es-MX"/>
        </w:rPr>
        <w:t xml:space="preserve"> 1:</w:t>
      </w:r>
      <w:r w:rsidR="005B21B9" w:rsidRPr="00D357A0">
        <w:rPr>
          <w:rFonts w:cs="Open Sans"/>
          <w:color w:val="0D6CB9" w:themeColor="accent1"/>
          <w:sz w:val="22"/>
          <w:szCs w:val="22"/>
          <w:lang w:val="es-MX"/>
        </w:rPr>
        <w:t xml:space="preserve">  </w:t>
      </w:r>
      <w:r w:rsidR="00D357A0" w:rsidRPr="00D357A0">
        <w:rPr>
          <w:rFonts w:asciiTheme="majorHAnsi" w:hAnsiTheme="majorHAnsi" w:cstheme="majorHAnsi"/>
          <w:sz w:val="22"/>
          <w:szCs w:val="22"/>
          <w:lang w:val="es-MX"/>
        </w:rPr>
        <w:t xml:space="preserve">Visite este sitio: </w:t>
      </w:r>
      <w:r w:rsidR="006E209A" w:rsidRPr="006044B5">
        <w:rPr>
          <w:color w:val="09508A" w:themeColor="accent1" w:themeShade="BF"/>
        </w:rPr>
        <w:fldChar w:fldCharType="begin"/>
      </w:r>
      <w:r w:rsidR="006E209A" w:rsidRPr="006044B5">
        <w:rPr>
          <w:color w:val="09508A" w:themeColor="accent1" w:themeShade="BF"/>
        </w:rPr>
        <w:instrText xml:space="preserve"> HYPERLINK "https://sses.tea.texas.gov/spanish.html" </w:instrText>
      </w:r>
      <w:r w:rsidR="006E209A" w:rsidRPr="006044B5">
        <w:rPr>
          <w:color w:val="09508A" w:themeColor="accent1" w:themeShade="BF"/>
        </w:rPr>
        <w:fldChar w:fldCharType="separate"/>
      </w:r>
      <w:r w:rsidR="00A1691A" w:rsidRPr="006044B5">
        <w:rPr>
          <w:rStyle w:val="Hyperlink"/>
          <w:rFonts w:asciiTheme="majorHAnsi" w:hAnsiTheme="majorHAnsi" w:cstheme="majorHAnsi"/>
          <w:color w:val="09508A" w:themeColor="accent1" w:themeShade="BF"/>
          <w:sz w:val="22"/>
          <w:szCs w:val="22"/>
          <w:lang w:val="es-MX"/>
        </w:rPr>
        <w:t>SSES.tea.texas.gov</w:t>
      </w:r>
      <w:r w:rsidR="006E209A" w:rsidRPr="006044B5">
        <w:rPr>
          <w:rStyle w:val="Hyperlink"/>
          <w:rFonts w:asciiTheme="majorHAnsi" w:hAnsiTheme="majorHAnsi" w:cstheme="majorHAnsi"/>
          <w:color w:val="09508A" w:themeColor="accent1" w:themeShade="BF"/>
          <w:sz w:val="22"/>
          <w:szCs w:val="22"/>
          <w:lang w:val="es-MX"/>
        </w:rPr>
        <w:fldChar w:fldCharType="end"/>
      </w:r>
      <w:r w:rsidR="00D357A0" w:rsidRPr="006044B5">
        <w:rPr>
          <w:rFonts w:asciiTheme="majorHAnsi" w:hAnsiTheme="majorHAnsi" w:cstheme="majorHAnsi"/>
          <w:color w:val="09508A" w:themeColor="accent1" w:themeShade="BF"/>
          <w:sz w:val="22"/>
          <w:szCs w:val="22"/>
          <w:lang w:val="es-MX"/>
        </w:rPr>
        <w:t xml:space="preserve"> </w:t>
      </w:r>
      <w:r w:rsidR="00D357A0" w:rsidRPr="00D357A0">
        <w:rPr>
          <w:rFonts w:asciiTheme="majorHAnsi" w:hAnsiTheme="majorHAnsi" w:cstheme="majorHAnsi"/>
          <w:sz w:val="22"/>
          <w:szCs w:val="22"/>
          <w:lang w:val="es-MX"/>
        </w:rPr>
        <w:t>y haga clic en "Aplic</w:t>
      </w:r>
      <w:r w:rsidR="00A1691A">
        <w:rPr>
          <w:rFonts w:asciiTheme="majorHAnsi" w:hAnsiTheme="majorHAnsi" w:cstheme="majorHAnsi"/>
          <w:sz w:val="22"/>
          <w:szCs w:val="22"/>
          <w:lang w:val="es-MX"/>
        </w:rPr>
        <w:t>a</w:t>
      </w:r>
      <w:r w:rsidR="00D357A0" w:rsidRPr="00D357A0">
        <w:rPr>
          <w:rFonts w:asciiTheme="majorHAnsi" w:hAnsiTheme="majorHAnsi" w:cstheme="majorHAnsi"/>
          <w:sz w:val="22"/>
          <w:szCs w:val="22"/>
          <w:lang w:val="es-MX"/>
        </w:rPr>
        <w:t xml:space="preserve"> hoy".</w:t>
      </w:r>
    </w:p>
    <w:p w14:paraId="5EBA8E27" w14:textId="35EC53B2" w:rsidR="005B21B9" w:rsidRPr="00D357A0" w:rsidRDefault="005B21B9" w:rsidP="00763067">
      <w:pPr>
        <w:rPr>
          <w:rFonts w:cs="Open Sans"/>
          <w:color w:val="211D1E"/>
          <w:lang w:val="es-MX"/>
        </w:rPr>
      </w:pPr>
    </w:p>
    <w:p w14:paraId="4653B239" w14:textId="54BF1421" w:rsidR="005B21B9" w:rsidRPr="006C1D2B" w:rsidRDefault="00677913" w:rsidP="00763067">
      <w:pPr>
        <w:rPr>
          <w:rFonts w:cs="Open Sans"/>
          <w:color w:val="211D1E"/>
          <w:lang w:val="es-MX"/>
        </w:rPr>
      </w:pPr>
      <w:r w:rsidRPr="006C1D2B">
        <w:rPr>
          <w:rFonts w:cs="Open Sans"/>
          <w:b/>
          <w:bCs/>
          <w:color w:val="0D6CB9" w:themeColor="accent1"/>
          <w:sz w:val="22"/>
          <w:szCs w:val="22"/>
          <w:lang w:val="es-MX"/>
        </w:rPr>
        <w:t>Paso</w:t>
      </w:r>
      <w:r w:rsidR="005B21B9" w:rsidRPr="006C1D2B">
        <w:rPr>
          <w:rFonts w:cs="Open Sans"/>
          <w:b/>
          <w:bCs/>
          <w:color w:val="0D6CB9" w:themeColor="accent1"/>
          <w:sz w:val="22"/>
          <w:szCs w:val="22"/>
          <w:lang w:val="es-MX"/>
        </w:rPr>
        <w:t xml:space="preserve"> 2: </w:t>
      </w:r>
      <w:r w:rsidR="006C1D2B" w:rsidRPr="006C1D2B">
        <w:rPr>
          <w:rFonts w:asciiTheme="majorHAnsi" w:hAnsiTheme="majorHAnsi" w:cstheme="majorHAnsi"/>
          <w:sz w:val="22"/>
          <w:szCs w:val="22"/>
          <w:lang w:val="es-MX"/>
        </w:rPr>
        <w:t>Complete la solicitud de una página de TEA. Asegúrese de seguir cuidadosamente las instrucciones de la solicitud para localizar el UID de su estudiante.</w:t>
      </w:r>
    </w:p>
    <w:p w14:paraId="494FCD9D" w14:textId="158FDFA6" w:rsidR="00DB4101" w:rsidRPr="006C1D2B" w:rsidRDefault="00DB4101" w:rsidP="00763067">
      <w:pPr>
        <w:rPr>
          <w:rFonts w:cs="Open Sans"/>
          <w:color w:val="211D1E"/>
          <w:lang w:val="es-MX"/>
        </w:rPr>
      </w:pPr>
    </w:p>
    <w:p w14:paraId="4B838E17" w14:textId="789A836E" w:rsidR="00DB4101" w:rsidRPr="00EE219A" w:rsidRDefault="00677913" w:rsidP="00763067">
      <w:pPr>
        <w:rPr>
          <w:rFonts w:cs="Open Sans"/>
          <w:color w:val="211D1E"/>
          <w:lang w:val="es-MX"/>
        </w:rPr>
      </w:pPr>
      <w:r w:rsidRPr="00EE219A">
        <w:rPr>
          <w:rFonts w:cs="Open Sans"/>
          <w:b/>
          <w:bCs/>
          <w:color w:val="0D6CB9" w:themeColor="accent1"/>
          <w:sz w:val="22"/>
          <w:szCs w:val="22"/>
          <w:lang w:val="es-MX"/>
        </w:rPr>
        <w:t>Paso</w:t>
      </w:r>
      <w:r w:rsidR="00DB4101" w:rsidRPr="00EE219A">
        <w:rPr>
          <w:rFonts w:cs="Open Sans"/>
          <w:b/>
          <w:bCs/>
          <w:color w:val="0D6CB9" w:themeColor="accent1"/>
          <w:sz w:val="22"/>
          <w:szCs w:val="22"/>
          <w:lang w:val="es-MX"/>
        </w:rPr>
        <w:t xml:space="preserve"> </w:t>
      </w:r>
      <w:r w:rsidR="00685FB1" w:rsidRPr="00EE219A">
        <w:rPr>
          <w:rFonts w:cs="Open Sans"/>
          <w:b/>
          <w:bCs/>
          <w:color w:val="0D6CB9" w:themeColor="accent1"/>
          <w:sz w:val="22"/>
          <w:szCs w:val="22"/>
          <w:lang w:val="es-MX"/>
        </w:rPr>
        <w:t>3</w:t>
      </w:r>
      <w:r w:rsidR="00DB4101" w:rsidRPr="00EE219A">
        <w:rPr>
          <w:rFonts w:cs="Open Sans"/>
          <w:b/>
          <w:bCs/>
          <w:color w:val="0D6CB9" w:themeColor="accent1"/>
          <w:sz w:val="22"/>
          <w:szCs w:val="22"/>
          <w:lang w:val="es-MX"/>
        </w:rPr>
        <w:t xml:space="preserve">: </w:t>
      </w:r>
      <w:r w:rsidR="00EE219A" w:rsidRPr="00EE219A">
        <w:rPr>
          <w:rFonts w:asciiTheme="majorHAnsi" w:hAnsiTheme="majorHAnsi" w:cstheme="majorHAnsi"/>
          <w:sz w:val="22"/>
          <w:szCs w:val="22"/>
          <w:lang w:val="es-MX"/>
        </w:rPr>
        <w:t xml:space="preserve">Recibirá un aviso inmediato de que se recibió su solicitud. Deberá esperar a que el equipo de SSES procese su solicitud y envíe su aviso de aprobación de la adjudicación; esto puede </w:t>
      </w:r>
      <w:r w:rsidR="00056ADA">
        <w:rPr>
          <w:rFonts w:asciiTheme="majorHAnsi" w:hAnsiTheme="majorHAnsi" w:cstheme="majorHAnsi"/>
          <w:sz w:val="22"/>
          <w:szCs w:val="22"/>
          <w:lang w:val="es-MX"/>
        </w:rPr>
        <w:t>tardar</w:t>
      </w:r>
      <w:r w:rsidR="00EE219A" w:rsidRPr="00EE219A">
        <w:rPr>
          <w:rFonts w:asciiTheme="majorHAnsi" w:hAnsiTheme="majorHAnsi" w:cstheme="majorHAnsi"/>
          <w:sz w:val="22"/>
          <w:szCs w:val="22"/>
          <w:lang w:val="es-MX"/>
        </w:rPr>
        <w:t xml:space="preserve"> hasta 30 días. Si se le otorga una cuenta SSES, recibirá instrucciones sobre cómo configurar y usar su cuenta a través del mercado ClassWallet.</w:t>
      </w:r>
    </w:p>
    <w:p w14:paraId="0B7EB658" w14:textId="167DCF7C" w:rsidR="0096132E" w:rsidRPr="00EE219A" w:rsidRDefault="0096132E" w:rsidP="00763067">
      <w:pPr>
        <w:rPr>
          <w:rFonts w:cs="Open Sans"/>
          <w:color w:val="211D1E"/>
          <w:lang w:val="es-MX"/>
        </w:rPr>
      </w:pPr>
    </w:p>
    <w:p w14:paraId="738D888F" w14:textId="41079207" w:rsidR="001517AA" w:rsidRPr="009A6509" w:rsidRDefault="009A6509" w:rsidP="001517AA">
      <w:pPr>
        <w:pBdr>
          <w:top w:val="single" w:sz="6" w:space="1" w:color="B72418" w:themeColor="accent3"/>
          <w:bottom w:val="single" w:sz="6" w:space="1" w:color="B72418" w:themeColor="accent3"/>
        </w:pBdr>
        <w:jc w:val="center"/>
        <w:rPr>
          <w:rFonts w:cs="Open Sans"/>
          <w:b/>
          <w:bCs/>
          <w:color w:val="0D6CB9" w:themeColor="accent1"/>
          <w:lang w:val="es-MX"/>
        </w:rPr>
      </w:pPr>
      <w:r w:rsidRPr="009A6509">
        <w:rPr>
          <w:rFonts w:cs="Open Sans"/>
          <w:b/>
          <w:bCs/>
          <w:color w:val="0D6CB9" w:themeColor="accent1"/>
          <w:lang w:val="es-MX"/>
        </w:rPr>
        <w:t>Después de que le hayan otorgado una cuenta SSES</w:t>
      </w:r>
      <w:r w:rsidR="001517AA" w:rsidRPr="009A6509">
        <w:rPr>
          <w:rFonts w:cs="Open Sans"/>
          <w:b/>
          <w:bCs/>
          <w:color w:val="0D6CB9" w:themeColor="accent1"/>
          <w:lang w:val="es-MX"/>
        </w:rPr>
        <w:t>:</w:t>
      </w:r>
    </w:p>
    <w:p w14:paraId="29648D6A" w14:textId="2B6C9CCE" w:rsidR="00665BBA" w:rsidRPr="00665BBA" w:rsidRDefault="00665BBA" w:rsidP="00763067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  <w:lang w:val="es-MX"/>
        </w:rPr>
      </w:pPr>
      <w:r w:rsidRPr="00665BBA">
        <w:rPr>
          <w:rFonts w:asciiTheme="majorHAnsi" w:hAnsiTheme="majorHAnsi" w:cstheme="majorHAnsi"/>
          <w:sz w:val="22"/>
          <w:szCs w:val="22"/>
          <w:lang w:val="es-MX"/>
        </w:rPr>
        <w:t>Podrá acceder al Mercado SSES para comprar recursos o servicios educativos para su estudiante.</w:t>
      </w:r>
    </w:p>
    <w:p w14:paraId="00F0DB43" w14:textId="6F7E9C8F" w:rsidR="00FD0AE0" w:rsidRPr="00C96720" w:rsidRDefault="00FD0AE0" w:rsidP="00FD0AE0">
      <w:pPr>
        <w:rPr>
          <w:rFonts w:asciiTheme="majorHAnsi" w:hAnsiTheme="majorHAnsi" w:cstheme="majorHAnsi"/>
          <w:sz w:val="22"/>
          <w:szCs w:val="22"/>
          <w:lang w:val="es-MX"/>
        </w:rPr>
      </w:pPr>
    </w:p>
    <w:p w14:paraId="67490505" w14:textId="4C3A42BA" w:rsidR="00FD0AE0" w:rsidRPr="00455AD1" w:rsidRDefault="00455AD1" w:rsidP="00FD0AE0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  <w:lang w:val="es-MX"/>
        </w:rPr>
      </w:pPr>
      <w:r w:rsidRPr="00455AD1">
        <w:rPr>
          <w:rFonts w:asciiTheme="majorHAnsi" w:hAnsiTheme="majorHAnsi" w:cstheme="majorHAnsi"/>
          <w:sz w:val="22"/>
          <w:szCs w:val="22"/>
          <w:lang w:val="es-MX"/>
        </w:rPr>
        <w:t xml:space="preserve">Debe completar </w:t>
      </w:r>
      <w:r w:rsidRPr="003A29E8">
        <w:rPr>
          <w:rFonts w:asciiTheme="majorHAnsi" w:hAnsiTheme="majorHAnsi" w:cstheme="majorHAnsi"/>
          <w:sz w:val="22"/>
          <w:szCs w:val="22"/>
          <w:u w:val="single"/>
          <w:lang w:val="es-MX"/>
        </w:rPr>
        <w:t>el requisito de activación de la cuenta dentro de los primeros 30 días</w:t>
      </w:r>
      <w:r w:rsidRPr="00455AD1">
        <w:rPr>
          <w:rFonts w:asciiTheme="majorHAnsi" w:hAnsiTheme="majorHAnsi" w:cstheme="majorHAnsi"/>
          <w:sz w:val="22"/>
          <w:szCs w:val="22"/>
          <w:lang w:val="es-MX"/>
        </w:rPr>
        <w:t>. Esto incluye iniciar sesión en su cuenta y firmar la declaración jurada de los padres. Si no hace estas dos cosas, su cuenta podría ser reclamada.</w:t>
      </w:r>
    </w:p>
    <w:p w14:paraId="21D061FD" w14:textId="77777777" w:rsidR="004112B0" w:rsidRPr="00455AD1" w:rsidRDefault="004112B0" w:rsidP="004112B0">
      <w:pPr>
        <w:pStyle w:val="ListParagraph"/>
        <w:rPr>
          <w:rFonts w:asciiTheme="majorHAnsi" w:hAnsiTheme="majorHAnsi" w:cstheme="majorHAnsi"/>
          <w:sz w:val="22"/>
          <w:szCs w:val="22"/>
          <w:lang w:val="es-MX"/>
        </w:rPr>
      </w:pPr>
    </w:p>
    <w:p w14:paraId="68D72C6E" w14:textId="390F83C6" w:rsidR="004112B0" w:rsidRPr="0089271F" w:rsidRDefault="0089271F" w:rsidP="00FD0AE0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  <w:lang w:val="es-MX"/>
        </w:rPr>
      </w:pPr>
      <w:r w:rsidRPr="0089271F">
        <w:rPr>
          <w:rFonts w:asciiTheme="majorHAnsi" w:hAnsiTheme="majorHAnsi" w:cstheme="majorHAnsi"/>
          <w:sz w:val="22"/>
          <w:szCs w:val="22"/>
          <w:lang w:val="es-MX"/>
        </w:rPr>
        <w:t xml:space="preserve">Las familias deben </w:t>
      </w:r>
      <w:r w:rsidRPr="0089271F">
        <w:rPr>
          <w:rFonts w:asciiTheme="majorHAnsi" w:hAnsiTheme="majorHAnsi" w:cstheme="majorHAnsi"/>
          <w:sz w:val="22"/>
          <w:szCs w:val="22"/>
          <w:u w:val="single"/>
          <w:lang w:val="es-MX"/>
        </w:rPr>
        <w:t xml:space="preserve">comenzar a gastar estos fondos dentro de los primeros 6 meses </w:t>
      </w:r>
      <w:r w:rsidRPr="0089271F">
        <w:rPr>
          <w:rFonts w:asciiTheme="majorHAnsi" w:hAnsiTheme="majorHAnsi" w:cstheme="majorHAnsi"/>
          <w:sz w:val="22"/>
          <w:szCs w:val="22"/>
          <w:lang w:val="es-MX"/>
        </w:rPr>
        <w:t>después de obtener una cuenta o su cuenta podría ser reclamada.</w:t>
      </w:r>
    </w:p>
    <w:p w14:paraId="24917F2A" w14:textId="77777777" w:rsidR="006711D9" w:rsidRPr="0089271F" w:rsidRDefault="006711D9" w:rsidP="006711D9">
      <w:pPr>
        <w:pStyle w:val="ListParagraph"/>
        <w:ind w:left="360"/>
        <w:rPr>
          <w:rFonts w:asciiTheme="majorHAnsi" w:hAnsiTheme="majorHAnsi" w:cstheme="majorHAnsi"/>
          <w:sz w:val="22"/>
          <w:szCs w:val="22"/>
          <w:lang w:val="es-MX"/>
        </w:rPr>
      </w:pPr>
    </w:p>
    <w:p w14:paraId="67530BE0" w14:textId="594A2BCE" w:rsidR="006E5456" w:rsidRDefault="00CE63AE" w:rsidP="002C45CE">
      <w:pPr>
        <w:rPr>
          <w:rFonts w:asciiTheme="majorHAnsi" w:hAnsiTheme="majorHAnsi" w:cstheme="majorHAnsi"/>
          <w:sz w:val="22"/>
          <w:szCs w:val="22"/>
          <w:lang w:val="es-MX"/>
        </w:rPr>
      </w:pPr>
      <w:r w:rsidRPr="00CE63AE">
        <w:rPr>
          <w:rFonts w:asciiTheme="majorHAnsi" w:hAnsiTheme="majorHAnsi" w:cstheme="majorHAnsi"/>
          <w:sz w:val="22"/>
          <w:szCs w:val="22"/>
          <w:lang w:val="es-MX"/>
        </w:rPr>
        <w:t>Gracias por su tiempo,</w:t>
      </w:r>
      <w:r w:rsidR="00797600" w:rsidRPr="00CE63AE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</w:p>
    <w:p w14:paraId="195FBAE1" w14:textId="77777777" w:rsidR="00210A73" w:rsidRPr="00CE63AE" w:rsidRDefault="00210A73" w:rsidP="002C45CE">
      <w:pPr>
        <w:rPr>
          <w:rFonts w:asciiTheme="majorHAnsi" w:hAnsiTheme="majorHAnsi" w:cstheme="majorHAnsi"/>
          <w:sz w:val="22"/>
          <w:szCs w:val="22"/>
          <w:lang w:val="es-MX"/>
        </w:rPr>
      </w:pPr>
    </w:p>
    <w:p w14:paraId="56B2113C" w14:textId="67DAA833" w:rsidR="002C45CE" w:rsidRDefault="003210DC" w:rsidP="003210DC">
      <w:pPr>
        <w:rPr>
          <w:rFonts w:asciiTheme="majorHAnsi" w:hAnsiTheme="majorHAnsi" w:cstheme="majorHAnsi"/>
          <w:sz w:val="22"/>
          <w:szCs w:val="22"/>
        </w:rPr>
      </w:pPr>
      <w:r w:rsidRPr="00F55FE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District Name "/>
            </w:textInput>
          </w:ffData>
        </w:fldChar>
      </w:r>
      <w:bookmarkStart w:id="0" w:name="Text2"/>
      <w:r w:rsidRPr="00C96720">
        <w:rPr>
          <w:rFonts w:asciiTheme="majorHAnsi" w:hAnsiTheme="majorHAnsi" w:cstheme="majorHAnsi"/>
          <w:sz w:val="22"/>
          <w:szCs w:val="22"/>
          <w:lang w:val="es-MX"/>
        </w:rPr>
        <w:instrText xml:space="preserve"> FORMTEXT </w:instrText>
      </w:r>
      <w:r w:rsidRPr="00F55FEA">
        <w:rPr>
          <w:rFonts w:asciiTheme="majorHAnsi" w:hAnsiTheme="majorHAnsi" w:cstheme="majorHAnsi"/>
          <w:sz w:val="22"/>
          <w:szCs w:val="22"/>
        </w:rPr>
      </w:r>
      <w:r w:rsidRPr="00F55FEA">
        <w:rPr>
          <w:rFonts w:asciiTheme="majorHAnsi" w:hAnsiTheme="majorHAnsi" w:cstheme="majorHAnsi"/>
          <w:sz w:val="22"/>
          <w:szCs w:val="22"/>
        </w:rPr>
        <w:fldChar w:fldCharType="separate"/>
      </w:r>
      <w:r w:rsidRPr="00C96720">
        <w:rPr>
          <w:rFonts w:asciiTheme="majorHAnsi" w:hAnsiTheme="majorHAnsi" w:cstheme="majorHAnsi"/>
          <w:sz w:val="22"/>
          <w:szCs w:val="22"/>
          <w:lang w:val="es-MX"/>
        </w:rPr>
        <w:t xml:space="preserve">District Name </w:t>
      </w:r>
      <w:r w:rsidRPr="00F55FEA">
        <w:rPr>
          <w:rFonts w:asciiTheme="majorHAnsi" w:hAnsiTheme="majorHAnsi" w:cstheme="majorHAnsi"/>
          <w:sz w:val="22"/>
          <w:szCs w:val="22"/>
        </w:rPr>
        <w:fldChar w:fldCharType="end"/>
      </w:r>
      <w:bookmarkEnd w:id="0"/>
    </w:p>
    <w:p w14:paraId="4AA54D48" w14:textId="77777777" w:rsidR="006044B5" w:rsidRDefault="006044B5" w:rsidP="003210DC">
      <w:pPr>
        <w:rPr>
          <w:rFonts w:asciiTheme="majorHAnsi" w:hAnsiTheme="majorHAnsi" w:cstheme="majorHAnsi"/>
          <w:sz w:val="22"/>
          <w:szCs w:val="22"/>
        </w:rPr>
      </w:pPr>
    </w:p>
    <w:p w14:paraId="2219EBB9" w14:textId="43BE1DF9" w:rsidR="006044B5" w:rsidRPr="006044B5" w:rsidRDefault="006044B5" w:rsidP="006044B5">
      <w:pPr>
        <w:rPr>
          <w:rFonts w:asciiTheme="majorHAnsi" w:hAnsiTheme="majorHAnsi" w:cstheme="majorHAnsi"/>
          <w:sz w:val="22"/>
          <w:szCs w:val="22"/>
        </w:rPr>
      </w:pPr>
      <w:r w:rsidRPr="006044B5">
        <w:rPr>
          <w:rFonts w:asciiTheme="majorHAnsi" w:hAnsiTheme="majorHAnsi" w:cstheme="majorHAnsi"/>
          <w:sz w:val="22"/>
          <w:szCs w:val="22"/>
        </w:rPr>
        <w:t xml:space="preserve">Para </w:t>
      </w:r>
      <w:proofErr w:type="spellStart"/>
      <w:r w:rsidRPr="006044B5">
        <w:rPr>
          <w:rFonts w:asciiTheme="majorHAnsi" w:hAnsiTheme="majorHAnsi" w:cstheme="majorHAnsi"/>
          <w:sz w:val="22"/>
          <w:szCs w:val="22"/>
        </w:rPr>
        <w:t>obtener</w:t>
      </w:r>
      <w:proofErr w:type="spellEnd"/>
      <w:r w:rsidRPr="006044B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44B5">
        <w:rPr>
          <w:rFonts w:asciiTheme="majorHAnsi" w:hAnsiTheme="majorHAnsi" w:cstheme="majorHAnsi"/>
          <w:sz w:val="22"/>
          <w:szCs w:val="22"/>
        </w:rPr>
        <w:t>información</w:t>
      </w:r>
      <w:proofErr w:type="spellEnd"/>
      <w:r w:rsidRPr="006044B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44B5">
        <w:rPr>
          <w:rFonts w:asciiTheme="majorHAnsi" w:hAnsiTheme="majorHAnsi" w:cstheme="majorHAnsi"/>
          <w:sz w:val="22"/>
          <w:szCs w:val="22"/>
        </w:rPr>
        <w:t>adicional</w:t>
      </w:r>
      <w:proofErr w:type="spellEnd"/>
      <w:r w:rsidRPr="006044B5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6044B5">
        <w:rPr>
          <w:rFonts w:asciiTheme="majorHAnsi" w:hAnsiTheme="majorHAnsi" w:cstheme="majorHAnsi"/>
          <w:sz w:val="22"/>
          <w:szCs w:val="22"/>
        </w:rPr>
        <w:t>envie</w:t>
      </w:r>
      <w:proofErr w:type="spellEnd"/>
      <w:r w:rsidRPr="006044B5">
        <w:rPr>
          <w:rFonts w:asciiTheme="majorHAnsi" w:hAnsiTheme="majorHAnsi" w:cstheme="majorHAnsi"/>
          <w:sz w:val="22"/>
          <w:szCs w:val="22"/>
        </w:rPr>
        <w:t xml:space="preserve"> un </w:t>
      </w:r>
      <w:proofErr w:type="spellStart"/>
      <w:r w:rsidRPr="006044B5">
        <w:rPr>
          <w:rFonts w:asciiTheme="majorHAnsi" w:hAnsiTheme="majorHAnsi" w:cstheme="majorHAnsi"/>
          <w:sz w:val="22"/>
          <w:szCs w:val="22"/>
        </w:rPr>
        <w:t>correo</w:t>
      </w:r>
      <w:proofErr w:type="spellEnd"/>
      <w:r w:rsidRPr="006044B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44B5">
        <w:rPr>
          <w:rFonts w:asciiTheme="majorHAnsi" w:hAnsiTheme="majorHAnsi" w:cstheme="majorHAnsi"/>
          <w:sz w:val="22"/>
          <w:szCs w:val="22"/>
        </w:rPr>
        <w:t>electrónico</w:t>
      </w:r>
      <w:proofErr w:type="spellEnd"/>
      <w:r w:rsidRPr="006044B5">
        <w:rPr>
          <w:rFonts w:asciiTheme="majorHAnsi" w:hAnsiTheme="majorHAnsi" w:cstheme="majorHAnsi"/>
          <w:sz w:val="22"/>
          <w:szCs w:val="22"/>
        </w:rPr>
        <w:t xml:space="preserve"> a </w:t>
      </w:r>
      <w:hyperlink r:id="rId7" w:tgtFrame="_blank" w:tooltip="mailto:sseshelp@region10.org" w:history="1">
        <w:r w:rsidRPr="006044B5">
          <w:rPr>
            <w:rStyle w:val="Hyperlink"/>
            <w:rFonts w:asciiTheme="majorHAnsi" w:hAnsiTheme="majorHAnsi" w:cstheme="majorHAnsi"/>
            <w:color w:val="09508A" w:themeColor="accent1" w:themeShade="BF"/>
            <w:sz w:val="22"/>
            <w:szCs w:val="22"/>
          </w:rPr>
          <w:t>SSESHelp@region10.org</w:t>
        </w:r>
      </w:hyperlink>
      <w:r w:rsidRPr="006044B5">
        <w:rPr>
          <w:rFonts w:asciiTheme="majorHAnsi" w:hAnsiTheme="majorHAnsi" w:cstheme="majorHAnsi"/>
          <w:sz w:val="22"/>
          <w:szCs w:val="22"/>
        </w:rPr>
        <w:t xml:space="preserve"> o </w:t>
      </w:r>
      <w:proofErr w:type="spellStart"/>
      <w:r w:rsidRPr="006044B5">
        <w:rPr>
          <w:rFonts w:asciiTheme="majorHAnsi" w:hAnsiTheme="majorHAnsi" w:cstheme="majorHAnsi"/>
          <w:sz w:val="22"/>
          <w:szCs w:val="22"/>
        </w:rPr>
        <w:t>visite</w:t>
      </w:r>
      <w:proofErr w:type="spellEnd"/>
      <w:r w:rsidRPr="006044B5">
        <w:rPr>
          <w:rFonts w:asciiTheme="majorHAnsi" w:hAnsiTheme="majorHAnsi" w:cstheme="majorHAnsi"/>
          <w:sz w:val="22"/>
          <w:szCs w:val="22"/>
        </w:rPr>
        <w:t xml:space="preserve"> a </w:t>
      </w:r>
      <w:hyperlink r:id="rId8" w:history="1">
        <w:r w:rsidRPr="006044B5">
          <w:rPr>
            <w:rStyle w:val="Hyperlink"/>
            <w:rFonts w:asciiTheme="majorHAnsi" w:hAnsiTheme="majorHAnsi" w:cstheme="majorHAnsi"/>
            <w:color w:val="09508A" w:themeColor="accent1" w:themeShade="BF"/>
            <w:sz w:val="22"/>
            <w:szCs w:val="22"/>
          </w:rPr>
          <w:t>SSES.TEA.Texas.gov</w:t>
        </w:r>
      </w:hyperlink>
      <w:r w:rsidRPr="006044B5">
        <w:rPr>
          <w:rFonts w:asciiTheme="majorHAnsi" w:hAnsiTheme="majorHAnsi" w:cstheme="majorHAnsi"/>
          <w:color w:val="09508A" w:themeColor="accent1" w:themeShade="BF"/>
          <w:sz w:val="22"/>
          <w:szCs w:val="22"/>
        </w:rPr>
        <w:t>.</w:t>
      </w:r>
    </w:p>
    <w:p w14:paraId="08C50962" w14:textId="77777777" w:rsidR="006044B5" w:rsidRPr="00C96720" w:rsidRDefault="006044B5" w:rsidP="003210DC">
      <w:pPr>
        <w:rPr>
          <w:rFonts w:asciiTheme="majorHAnsi" w:hAnsiTheme="majorHAnsi" w:cstheme="majorHAnsi"/>
          <w:sz w:val="22"/>
          <w:szCs w:val="22"/>
          <w:lang w:val="es-MX"/>
        </w:rPr>
      </w:pPr>
    </w:p>
    <w:sectPr w:rsidR="006044B5" w:rsidRPr="00C96720" w:rsidSect="006D29D3">
      <w:headerReference w:type="default" r:id="rId9"/>
      <w:pgSz w:w="12240" w:h="15840"/>
      <w:pgMar w:top="720" w:right="720" w:bottom="720" w:left="720" w:header="172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0F65D" w14:textId="77777777" w:rsidR="006E209A" w:rsidRDefault="006E209A" w:rsidP="00AF5A02">
      <w:r>
        <w:separator/>
      </w:r>
    </w:p>
  </w:endnote>
  <w:endnote w:type="continuationSeparator" w:id="0">
    <w:p w14:paraId="2DC4EA92" w14:textId="77777777" w:rsidR="006E209A" w:rsidRDefault="006E209A" w:rsidP="00AF5A02">
      <w:r>
        <w:continuationSeparator/>
      </w:r>
    </w:p>
  </w:endnote>
  <w:endnote w:type="continuationNotice" w:id="1">
    <w:p w14:paraId="0395231F" w14:textId="77777777" w:rsidR="006E209A" w:rsidRDefault="006E20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CF4C6" w14:textId="77777777" w:rsidR="006E209A" w:rsidRDefault="006E209A" w:rsidP="00AF5A02">
      <w:r>
        <w:separator/>
      </w:r>
    </w:p>
  </w:footnote>
  <w:footnote w:type="continuationSeparator" w:id="0">
    <w:p w14:paraId="7BDB0368" w14:textId="77777777" w:rsidR="006E209A" w:rsidRDefault="006E209A" w:rsidP="00AF5A02">
      <w:r>
        <w:continuationSeparator/>
      </w:r>
    </w:p>
  </w:footnote>
  <w:footnote w:type="continuationNotice" w:id="1">
    <w:p w14:paraId="5F5237B4" w14:textId="77777777" w:rsidR="006E209A" w:rsidRDefault="006E20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5FFB" w14:textId="53570F5D" w:rsidR="00AF5A02" w:rsidRDefault="00AF5A0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F55281" wp14:editId="1842DA1D">
          <wp:simplePos x="0" y="0"/>
          <wp:positionH relativeFrom="column">
            <wp:posOffset>-496111</wp:posOffset>
          </wp:positionH>
          <wp:positionV relativeFrom="paragraph">
            <wp:posOffset>-1126439</wp:posOffset>
          </wp:positionV>
          <wp:extent cx="7797800" cy="1009127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0" cy="10091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D0A53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EB75A0"/>
    <w:multiLevelType w:val="hybridMultilevel"/>
    <w:tmpl w:val="EA347E90"/>
    <w:lvl w:ilvl="0" w:tplc="C38EDB4E">
      <w:numFmt w:val="bullet"/>
      <w:lvlText w:val="-"/>
      <w:lvlJc w:val="left"/>
      <w:pPr>
        <w:ind w:left="720" w:hanging="360"/>
      </w:pPr>
      <w:rPr>
        <w:rFonts w:ascii="Calibri" w:eastAsiaTheme="minorHAnsi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56398"/>
    <w:multiLevelType w:val="hybridMultilevel"/>
    <w:tmpl w:val="EEA26626"/>
    <w:lvl w:ilvl="0" w:tplc="34D4F0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D6CB9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9373C6"/>
    <w:multiLevelType w:val="hybridMultilevel"/>
    <w:tmpl w:val="B0400488"/>
    <w:lvl w:ilvl="0" w:tplc="17EC051A">
      <w:start w:val="1"/>
      <w:numFmt w:val="bullet"/>
      <w:lvlText w:val=""/>
      <w:lvlJc w:val="left"/>
      <w:pPr>
        <w:ind w:left="1570" w:hanging="360"/>
      </w:pPr>
      <w:rPr>
        <w:rFonts w:ascii="Symbol" w:hAnsi="Symbol" w:cs="Symbol" w:hint="default"/>
        <w:color w:val="0D6CB9" w:themeColor="accent1"/>
      </w:rPr>
    </w:lvl>
    <w:lvl w:ilvl="1" w:tplc="0409000B">
      <w:start w:val="1"/>
      <w:numFmt w:val="bullet"/>
      <w:lvlText w:val=""/>
      <w:lvlJc w:val="left"/>
      <w:pPr>
        <w:ind w:left="22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541B4BC4"/>
    <w:multiLevelType w:val="hybridMultilevel"/>
    <w:tmpl w:val="2620FF4C"/>
    <w:lvl w:ilvl="0" w:tplc="CC00C950">
      <w:start w:val="1"/>
      <w:numFmt w:val="bullet"/>
      <w:pStyle w:val="Bullet"/>
      <w:lvlText w:val="•"/>
      <w:lvlJc w:val="left"/>
      <w:pPr>
        <w:ind w:left="921" w:hanging="201"/>
      </w:pPr>
      <w:rPr>
        <w:rFonts w:ascii="Arial" w:eastAsia="Arial" w:hAnsi="Arial" w:hint="default"/>
        <w:b w:val="0"/>
        <w:i w:val="0"/>
        <w:strike w:val="0"/>
        <w:dstrike w:val="0"/>
        <w:color w:val="006F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908F6E">
      <w:start w:val="1"/>
      <w:numFmt w:val="bullet"/>
      <w:lvlText w:val="o"/>
      <w:lvlJc w:val="left"/>
      <w:pPr>
        <w:ind w:left="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C4CF9C">
      <w:start w:val="1"/>
      <w:numFmt w:val="bullet"/>
      <w:lvlText w:val="▪"/>
      <w:lvlJc w:val="left"/>
      <w:pPr>
        <w:ind w:left="1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7C7158">
      <w:start w:val="1"/>
      <w:numFmt w:val="bullet"/>
      <w:lvlText w:val="•"/>
      <w:lvlJc w:val="left"/>
      <w:pPr>
        <w:ind w:left="1946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0007B8">
      <w:start w:val="1"/>
      <w:numFmt w:val="bullet"/>
      <w:lvlText w:val="o"/>
      <w:lvlJc w:val="left"/>
      <w:pPr>
        <w:ind w:left="2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E4C214">
      <w:start w:val="1"/>
      <w:numFmt w:val="bullet"/>
      <w:lvlText w:val="▪"/>
      <w:lvlJc w:val="left"/>
      <w:pPr>
        <w:ind w:left="3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D6C3EC">
      <w:start w:val="1"/>
      <w:numFmt w:val="bullet"/>
      <w:lvlText w:val="•"/>
      <w:lvlJc w:val="left"/>
      <w:pPr>
        <w:ind w:left="4106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34B850">
      <w:start w:val="1"/>
      <w:numFmt w:val="bullet"/>
      <w:lvlText w:val="o"/>
      <w:lvlJc w:val="left"/>
      <w:pPr>
        <w:ind w:left="4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DE295A">
      <w:start w:val="1"/>
      <w:numFmt w:val="bullet"/>
      <w:lvlText w:val="▪"/>
      <w:lvlJc w:val="left"/>
      <w:pPr>
        <w:ind w:left="5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61071F"/>
    <w:multiLevelType w:val="hybridMultilevel"/>
    <w:tmpl w:val="B420C002"/>
    <w:lvl w:ilvl="0" w:tplc="B91A8F38"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B72418" w:themeColor="accent3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02"/>
    <w:rsid w:val="00034E71"/>
    <w:rsid w:val="00047503"/>
    <w:rsid w:val="00056ADA"/>
    <w:rsid w:val="0008097D"/>
    <w:rsid w:val="000F6291"/>
    <w:rsid w:val="00100225"/>
    <w:rsid w:val="00140DEE"/>
    <w:rsid w:val="0014122B"/>
    <w:rsid w:val="001517AA"/>
    <w:rsid w:val="00151F20"/>
    <w:rsid w:val="00164F79"/>
    <w:rsid w:val="00181A00"/>
    <w:rsid w:val="00191621"/>
    <w:rsid w:val="001929F4"/>
    <w:rsid w:val="001D27F1"/>
    <w:rsid w:val="00210A73"/>
    <w:rsid w:val="00262625"/>
    <w:rsid w:val="00285DB7"/>
    <w:rsid w:val="002C45CE"/>
    <w:rsid w:val="002C5896"/>
    <w:rsid w:val="002E303D"/>
    <w:rsid w:val="002E645F"/>
    <w:rsid w:val="003210DC"/>
    <w:rsid w:val="0034612F"/>
    <w:rsid w:val="0035471D"/>
    <w:rsid w:val="003578E3"/>
    <w:rsid w:val="003A29E8"/>
    <w:rsid w:val="00406483"/>
    <w:rsid w:val="004112B0"/>
    <w:rsid w:val="00414EE7"/>
    <w:rsid w:val="004338D2"/>
    <w:rsid w:val="00452492"/>
    <w:rsid w:val="00455AD1"/>
    <w:rsid w:val="004609F4"/>
    <w:rsid w:val="00465DB5"/>
    <w:rsid w:val="00477526"/>
    <w:rsid w:val="004E399C"/>
    <w:rsid w:val="005728AA"/>
    <w:rsid w:val="005B21B9"/>
    <w:rsid w:val="005E70FA"/>
    <w:rsid w:val="005F001E"/>
    <w:rsid w:val="006044B5"/>
    <w:rsid w:val="00665BBA"/>
    <w:rsid w:val="006711D9"/>
    <w:rsid w:val="00677913"/>
    <w:rsid w:val="00685FB1"/>
    <w:rsid w:val="006B6916"/>
    <w:rsid w:val="006C1D2B"/>
    <w:rsid w:val="006D29D3"/>
    <w:rsid w:val="006D409B"/>
    <w:rsid w:val="006D5120"/>
    <w:rsid w:val="006E209A"/>
    <w:rsid w:val="006E5456"/>
    <w:rsid w:val="006F2DDA"/>
    <w:rsid w:val="007047C8"/>
    <w:rsid w:val="007212EF"/>
    <w:rsid w:val="00763067"/>
    <w:rsid w:val="00770AC1"/>
    <w:rsid w:val="0078046A"/>
    <w:rsid w:val="00797600"/>
    <w:rsid w:val="007C0A74"/>
    <w:rsid w:val="007D4FD1"/>
    <w:rsid w:val="0083719B"/>
    <w:rsid w:val="008427EC"/>
    <w:rsid w:val="00854AE6"/>
    <w:rsid w:val="00883FE0"/>
    <w:rsid w:val="0089271F"/>
    <w:rsid w:val="008B7B01"/>
    <w:rsid w:val="008E50A2"/>
    <w:rsid w:val="009031A6"/>
    <w:rsid w:val="009048C5"/>
    <w:rsid w:val="00935787"/>
    <w:rsid w:val="0096132E"/>
    <w:rsid w:val="009776E0"/>
    <w:rsid w:val="00986A8F"/>
    <w:rsid w:val="00994536"/>
    <w:rsid w:val="00996A86"/>
    <w:rsid w:val="00996D22"/>
    <w:rsid w:val="009A6509"/>
    <w:rsid w:val="009D6E62"/>
    <w:rsid w:val="00A13A45"/>
    <w:rsid w:val="00A15AEC"/>
    <w:rsid w:val="00A1691A"/>
    <w:rsid w:val="00A26223"/>
    <w:rsid w:val="00A308BD"/>
    <w:rsid w:val="00A5291B"/>
    <w:rsid w:val="00A5632B"/>
    <w:rsid w:val="00A646CA"/>
    <w:rsid w:val="00A95834"/>
    <w:rsid w:val="00AA612F"/>
    <w:rsid w:val="00AF5A02"/>
    <w:rsid w:val="00B4118A"/>
    <w:rsid w:val="00B56A91"/>
    <w:rsid w:val="00B6086E"/>
    <w:rsid w:val="00B77444"/>
    <w:rsid w:val="00B77B17"/>
    <w:rsid w:val="00B80E47"/>
    <w:rsid w:val="00B81572"/>
    <w:rsid w:val="00B86FAC"/>
    <w:rsid w:val="00C17A5E"/>
    <w:rsid w:val="00C201E0"/>
    <w:rsid w:val="00C41DEC"/>
    <w:rsid w:val="00C715E4"/>
    <w:rsid w:val="00C96720"/>
    <w:rsid w:val="00CE63AE"/>
    <w:rsid w:val="00CF2232"/>
    <w:rsid w:val="00D12BED"/>
    <w:rsid w:val="00D157DF"/>
    <w:rsid w:val="00D209B6"/>
    <w:rsid w:val="00D357A0"/>
    <w:rsid w:val="00D43411"/>
    <w:rsid w:val="00D50C74"/>
    <w:rsid w:val="00D86E81"/>
    <w:rsid w:val="00D92353"/>
    <w:rsid w:val="00DB4101"/>
    <w:rsid w:val="00E41F87"/>
    <w:rsid w:val="00E53ED6"/>
    <w:rsid w:val="00E63C8A"/>
    <w:rsid w:val="00E65418"/>
    <w:rsid w:val="00E76AB0"/>
    <w:rsid w:val="00E96EF4"/>
    <w:rsid w:val="00EB2672"/>
    <w:rsid w:val="00ED03C1"/>
    <w:rsid w:val="00EE219A"/>
    <w:rsid w:val="00F01480"/>
    <w:rsid w:val="00F55FEA"/>
    <w:rsid w:val="00FC7A87"/>
    <w:rsid w:val="00FD0AE0"/>
    <w:rsid w:val="00FE705F"/>
    <w:rsid w:val="00FF053B"/>
    <w:rsid w:val="00FF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0A2394"/>
  <w15:chartTrackingRefBased/>
  <w15:docId w15:val="{511CA594-F4D3-9C46-82FD-9BF5F259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2E303D"/>
    <w:pPr>
      <w:spacing w:before="120"/>
      <w:ind w:left="720"/>
    </w:pPr>
    <w:rPr>
      <w:rFonts w:eastAsia="Calibri" w:cs="Times New Roman"/>
      <w:b/>
      <w:bCs/>
      <w:i/>
      <w:iCs/>
      <w:color w:val="0D6CB9" w:themeColor="accent1"/>
    </w:rPr>
  </w:style>
  <w:style w:type="paragraph" w:customStyle="1" w:styleId="Bullet">
    <w:name w:val="Bullet"/>
    <w:basedOn w:val="ListBullet"/>
    <w:autoRedefine/>
    <w:qFormat/>
    <w:rsid w:val="005728AA"/>
    <w:pPr>
      <w:numPr>
        <w:numId w:val="2"/>
      </w:numPr>
      <w:spacing w:after="171" w:line="258" w:lineRule="auto"/>
      <w:ind w:right="56"/>
    </w:pPr>
    <w:rPr>
      <w:rFonts w:ascii="Calibri" w:eastAsia="Calibri" w:hAnsi="Calibri" w:cs="Calibri"/>
      <w:color w:val="000000" w:themeColor="text1"/>
      <w:sz w:val="22"/>
      <w:szCs w:val="22"/>
    </w:rPr>
  </w:style>
  <w:style w:type="paragraph" w:styleId="ListBullet">
    <w:name w:val="List Bullet"/>
    <w:basedOn w:val="Normal"/>
    <w:uiPriority w:val="99"/>
    <w:semiHidden/>
    <w:unhideWhenUsed/>
    <w:rsid w:val="005728AA"/>
    <w:pPr>
      <w:numPr>
        <w:numId w:val="1"/>
      </w:numPr>
      <w:contextualSpacing/>
    </w:pPr>
  </w:style>
  <w:style w:type="paragraph" w:customStyle="1" w:styleId="Bullets">
    <w:name w:val="Bullets"/>
    <w:basedOn w:val="ListBullet"/>
    <w:autoRedefine/>
    <w:qFormat/>
    <w:rsid w:val="00FE705F"/>
    <w:pPr>
      <w:widowControl w:val="0"/>
      <w:numPr>
        <w:numId w:val="0"/>
      </w:numPr>
      <w:autoSpaceDE w:val="0"/>
      <w:autoSpaceDN w:val="0"/>
      <w:spacing w:before="61"/>
      <w:ind w:right="791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F5A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A02"/>
  </w:style>
  <w:style w:type="paragraph" w:styleId="Footer">
    <w:name w:val="footer"/>
    <w:basedOn w:val="Normal"/>
    <w:link w:val="FooterChar"/>
    <w:uiPriority w:val="99"/>
    <w:unhideWhenUsed/>
    <w:rsid w:val="00AF5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A02"/>
  </w:style>
  <w:style w:type="paragraph" w:customStyle="1" w:styleId="Default">
    <w:name w:val="Default"/>
    <w:rsid w:val="00763067"/>
    <w:pPr>
      <w:autoSpaceDE w:val="0"/>
      <w:autoSpaceDN w:val="0"/>
      <w:adjustRightInd w:val="0"/>
    </w:pPr>
    <w:rPr>
      <w:rFonts w:ascii="Open Sans" w:hAnsi="Open Sans" w:cs="Open Sans"/>
      <w:color w:val="000000"/>
    </w:rPr>
  </w:style>
  <w:style w:type="character" w:styleId="Hyperlink">
    <w:name w:val="Hyperlink"/>
    <w:basedOn w:val="DefaultParagraphFont"/>
    <w:uiPriority w:val="99"/>
    <w:unhideWhenUsed/>
    <w:rsid w:val="005B21B9"/>
    <w:rPr>
      <w:color w:val="1682C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1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57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0C74"/>
    <w:rPr>
      <w:color w:val="F0603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6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es.tea.texas.gov/spanish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ESHelp@region10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TEA Colors - 2021">
      <a:dk1>
        <a:srgbClr val="000000"/>
      </a:dk1>
      <a:lt1>
        <a:srgbClr val="FFFFFF"/>
      </a:lt1>
      <a:dk2>
        <a:srgbClr val="41873F"/>
      </a:dk2>
      <a:lt2>
        <a:srgbClr val="D8D8D8"/>
      </a:lt2>
      <a:accent1>
        <a:srgbClr val="0D6CB9"/>
      </a:accent1>
      <a:accent2>
        <a:srgbClr val="F16038"/>
      </a:accent2>
      <a:accent3>
        <a:srgbClr val="B72418"/>
      </a:accent3>
      <a:accent4>
        <a:srgbClr val="704180"/>
      </a:accent4>
      <a:accent5>
        <a:srgbClr val="596167"/>
      </a:accent5>
      <a:accent6>
        <a:srgbClr val="012069"/>
      </a:accent6>
      <a:hlink>
        <a:srgbClr val="1682C5"/>
      </a:hlink>
      <a:folHlink>
        <a:srgbClr val="F0603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Links>
    <vt:vector size="18" baseType="variant">
      <vt:variant>
        <vt:i4>8126574</vt:i4>
      </vt:variant>
      <vt:variant>
        <vt:i4>12</vt:i4>
      </vt:variant>
      <vt:variant>
        <vt:i4>0</vt:i4>
      </vt:variant>
      <vt:variant>
        <vt:i4>5</vt:i4>
      </vt:variant>
      <vt:variant>
        <vt:lpwstr>https://sses.tea.texas.gov/spanish.html</vt:lpwstr>
      </vt:variant>
      <vt:variant>
        <vt:lpwstr/>
      </vt:variant>
      <vt:variant>
        <vt:i4>6946888</vt:i4>
      </vt:variant>
      <vt:variant>
        <vt:i4>9</vt:i4>
      </vt:variant>
      <vt:variant>
        <vt:i4>0</vt:i4>
      </vt:variant>
      <vt:variant>
        <vt:i4>5</vt:i4>
      </vt:variant>
      <vt:variant>
        <vt:lpwstr>mailto:SSESHelp@region10.org</vt:lpwstr>
      </vt:variant>
      <vt:variant>
        <vt:lpwstr/>
      </vt:variant>
      <vt:variant>
        <vt:i4>8126574</vt:i4>
      </vt:variant>
      <vt:variant>
        <vt:i4>3</vt:i4>
      </vt:variant>
      <vt:variant>
        <vt:i4>0</vt:i4>
      </vt:variant>
      <vt:variant>
        <vt:i4>5</vt:i4>
      </vt:variant>
      <vt:variant>
        <vt:lpwstr>https://sses.tea.texas.gov/spanish.html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Goodman, Kelly</dc:creator>
  <cp:keywords/>
  <dc:description/>
  <cp:lastModifiedBy>Goodman, Kelly</cp:lastModifiedBy>
  <cp:revision>4</cp:revision>
  <dcterms:created xsi:type="dcterms:W3CDTF">2021-12-01T17:12:00Z</dcterms:created>
  <dcterms:modified xsi:type="dcterms:W3CDTF">2021-12-01T17:16:00Z</dcterms:modified>
</cp:coreProperties>
</file>