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7738" w14:textId="7DA19D20" w:rsidR="4A62DAB3" w:rsidRDefault="4A62DAB3" w:rsidP="1AD41D5C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 w:rsidRPr="009B3054">
        <w:rPr>
          <w:rFonts w:ascii="Calibri" w:eastAsia="Calibri" w:hAnsi="Calibri" w:cs="Calibri"/>
          <w:b/>
          <w:color w:val="auto"/>
          <w:sz w:val="28"/>
          <w:szCs w:val="28"/>
        </w:rPr>
        <w:t xml:space="preserve">Template: </w:t>
      </w:r>
      <w:r w:rsidR="00B16340">
        <w:rPr>
          <w:rFonts w:ascii="Calibri" w:eastAsia="Calibri" w:hAnsi="Calibri" w:cs="Calibri"/>
          <w:b/>
          <w:color w:val="auto"/>
          <w:sz w:val="28"/>
          <w:szCs w:val="28"/>
        </w:rPr>
        <w:t xml:space="preserve">Assess Instructional Materials Access </w:t>
      </w:r>
    </w:p>
    <w:p w14:paraId="3C15C013" w14:textId="690CFE80" w:rsidR="000058FC" w:rsidRDefault="00331D28" w:rsidP="00331D28">
      <w:pPr>
        <w:spacing w:after="0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Overview and Use of Template:</w:t>
      </w:r>
    </w:p>
    <w:p w14:paraId="2A6026CF" w14:textId="47B0BCDE" w:rsidR="00331D28" w:rsidRDefault="00331D28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This template </w:t>
      </w:r>
      <w:r w:rsidR="00BB4018">
        <w:rPr>
          <w:rFonts w:ascii="Calibri" w:eastAsia="Calibri" w:hAnsi="Calibri" w:cs="Calibri"/>
          <w:bCs/>
          <w:color w:val="auto"/>
          <w:sz w:val="22"/>
          <w:szCs w:val="22"/>
        </w:rPr>
        <w:t>is provided</w:t>
      </w:r>
      <w:r w:rsidR="00C941E6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42495A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help </w:t>
      </w:r>
      <w:r w:rsidR="00BB4018">
        <w:rPr>
          <w:rFonts w:ascii="Calibri" w:eastAsia="Calibri" w:hAnsi="Calibri" w:cs="Calibri"/>
          <w:bCs/>
          <w:color w:val="auto"/>
          <w:sz w:val="22"/>
          <w:szCs w:val="22"/>
        </w:rPr>
        <w:t>assess</w:t>
      </w:r>
      <w:r w:rsidR="00B03512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the </w:t>
      </w:r>
      <w:r w:rsidR="00804477">
        <w:rPr>
          <w:rFonts w:ascii="Calibri" w:eastAsia="Calibri" w:hAnsi="Calibri" w:cs="Calibri"/>
          <w:bCs/>
          <w:color w:val="auto"/>
          <w:sz w:val="22"/>
          <w:szCs w:val="22"/>
        </w:rPr>
        <w:t xml:space="preserve">instructional materials </w:t>
      </w:r>
      <w:r w:rsidR="001047A5">
        <w:rPr>
          <w:rFonts w:ascii="Calibri" w:eastAsia="Calibri" w:hAnsi="Calibri" w:cs="Calibri"/>
          <w:bCs/>
          <w:color w:val="auto"/>
          <w:sz w:val="22"/>
          <w:szCs w:val="22"/>
        </w:rPr>
        <w:t>access by content and grade level.</w:t>
      </w:r>
      <w:r w:rsidR="00136F88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1047A5">
        <w:rPr>
          <w:rFonts w:ascii="Calibri" w:eastAsia="Calibri" w:hAnsi="Calibri" w:cs="Calibri"/>
          <w:bCs/>
          <w:color w:val="auto"/>
          <w:sz w:val="22"/>
          <w:szCs w:val="22"/>
        </w:rPr>
        <w:t xml:space="preserve">Districts </w:t>
      </w:r>
      <w:r w:rsidR="00F906B0">
        <w:rPr>
          <w:rFonts w:ascii="Calibri" w:eastAsia="Calibri" w:hAnsi="Calibri" w:cs="Calibri"/>
          <w:bCs/>
          <w:color w:val="auto"/>
          <w:sz w:val="22"/>
          <w:szCs w:val="22"/>
        </w:rPr>
        <w:t>should modify and edit the template to meet the needs of their local context, identifying all content, courses, and grade-levels for which at-home instruction will be provided.</w:t>
      </w:r>
      <w:r w:rsidR="00BB4018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</w:p>
    <w:p w14:paraId="4434A055" w14:textId="4B0B38FA" w:rsidR="00F906B0" w:rsidRDefault="00F906B0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4E3073">
        <w:rPr>
          <w:rFonts w:ascii="Calibri" w:eastAsia="Calibri" w:hAnsi="Calibri" w:cs="Calibri"/>
          <w:b/>
          <w:bCs/>
          <w:color w:val="auto"/>
          <w:sz w:val="22"/>
          <w:szCs w:val="22"/>
        </w:rPr>
        <w:t>NOTE:</w:t>
      </w: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B2371E">
        <w:rPr>
          <w:rFonts w:ascii="Calibri" w:eastAsia="Calibri" w:hAnsi="Calibri" w:cs="Calibri"/>
          <w:bCs/>
          <w:color w:val="auto"/>
          <w:sz w:val="22"/>
          <w:szCs w:val="22"/>
        </w:rPr>
        <w:t>Questions in blue ar</w:t>
      </w:r>
      <w:r w:rsidR="0045629F">
        <w:rPr>
          <w:rFonts w:ascii="Calibri" w:eastAsia="Calibri" w:hAnsi="Calibri" w:cs="Calibri"/>
          <w:bCs/>
          <w:color w:val="auto"/>
          <w:sz w:val="22"/>
          <w:szCs w:val="22"/>
        </w:rPr>
        <w:t xml:space="preserve">e provided to help guide </w:t>
      </w:r>
      <w:r w:rsidR="009E339A">
        <w:rPr>
          <w:rFonts w:ascii="Calibri" w:eastAsia="Calibri" w:hAnsi="Calibri" w:cs="Calibri"/>
          <w:bCs/>
          <w:color w:val="auto"/>
          <w:sz w:val="22"/>
          <w:szCs w:val="22"/>
        </w:rPr>
        <w:t>analysis and planning.</w:t>
      </w:r>
      <w:r w:rsidR="00BC7C94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57066A">
        <w:rPr>
          <w:rFonts w:ascii="Calibri" w:eastAsia="Calibri" w:hAnsi="Calibri" w:cs="Calibri"/>
          <w:bCs/>
          <w:color w:val="auto"/>
          <w:sz w:val="22"/>
          <w:szCs w:val="22"/>
        </w:rPr>
        <w:t>After the template</w:t>
      </w:r>
      <w:r w:rsidR="00FE7528">
        <w:rPr>
          <w:rFonts w:ascii="Calibri" w:eastAsia="Calibri" w:hAnsi="Calibri" w:cs="Calibri"/>
          <w:bCs/>
          <w:color w:val="auto"/>
          <w:sz w:val="22"/>
          <w:szCs w:val="22"/>
        </w:rPr>
        <w:t>, a</w:t>
      </w:r>
      <w:r w:rsidR="0057066A">
        <w:rPr>
          <w:rFonts w:ascii="Calibri" w:eastAsia="Calibri" w:hAnsi="Calibri" w:cs="Calibri"/>
          <w:bCs/>
          <w:color w:val="auto"/>
          <w:sz w:val="22"/>
          <w:szCs w:val="22"/>
        </w:rPr>
        <w:t xml:space="preserve"> filled-in</w:t>
      </w:r>
      <w:r w:rsidR="00FE7528">
        <w:rPr>
          <w:rFonts w:ascii="Calibri" w:eastAsia="Calibri" w:hAnsi="Calibri" w:cs="Calibri"/>
          <w:bCs/>
          <w:color w:val="auto"/>
          <w:sz w:val="22"/>
          <w:szCs w:val="22"/>
        </w:rPr>
        <w:t xml:space="preserve"> example is provided to illustrate use of the template.</w:t>
      </w:r>
    </w:p>
    <w:p w14:paraId="70FE72F7" w14:textId="6C8D7174" w:rsidR="00B455B3" w:rsidRPr="00731A7C" w:rsidRDefault="00B455B3" w:rsidP="00331D28">
      <w:pPr>
        <w:spacing w:after="0"/>
        <w:rPr>
          <w:rFonts w:ascii="Calibri" w:eastAsia="Calibri" w:hAnsi="Calibri" w:cs="Calibr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795"/>
      </w:tblGrid>
      <w:tr w:rsidR="00AD62D9" w:rsidRPr="00731A7C" w14:paraId="33738FBD" w14:textId="77777777" w:rsidTr="00EB0C30">
        <w:tc>
          <w:tcPr>
            <w:tcW w:w="12950" w:type="dxa"/>
            <w:gridSpan w:val="2"/>
            <w:shd w:val="clear" w:color="auto" w:fill="C6E0EB" w:themeFill="accent1" w:themeFillTint="33"/>
          </w:tcPr>
          <w:p w14:paraId="51C5FC79" w14:textId="1FC384D9" w:rsidR="00AD62D9" w:rsidRPr="00731A7C" w:rsidRDefault="00AD62D9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Content/Course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:      </w:t>
            </w:r>
            <w:r w:rsidR="00B2371E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                                                 </w:t>
            </w:r>
            <w:r w:rsidR="00B2371E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Grade Level</w:t>
            </w:r>
            <w:r w:rsidR="003025F8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</w:tr>
      <w:tr w:rsidR="00AD62D9" w14:paraId="74437826" w14:textId="77777777" w:rsidTr="00B2371E">
        <w:tc>
          <w:tcPr>
            <w:tcW w:w="2155" w:type="dxa"/>
          </w:tcPr>
          <w:p w14:paraId="735E2112" w14:textId="3C58D441" w:rsidR="00AD62D9" w:rsidRPr="00731A7C" w:rsidRDefault="009E339A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Instructional Continuity Vision</w:t>
            </w:r>
          </w:p>
        </w:tc>
        <w:tc>
          <w:tcPr>
            <w:tcW w:w="10795" w:type="dxa"/>
          </w:tcPr>
          <w:p w14:paraId="017E5BB2" w14:textId="77777777" w:rsidR="00AD62D9" w:rsidRPr="00731A7C" w:rsidRDefault="00851C1E" w:rsidP="00851C1E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What do you want to be true for all students </w:t>
            </w:r>
            <w:r w:rsidR="00C31B91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in this content/course and grade level as they continue learning at home?</w:t>
            </w:r>
          </w:p>
          <w:p w14:paraId="7D27A074" w14:textId="75432232" w:rsidR="00C31B91" w:rsidRPr="00731A7C" w:rsidRDefault="00E05E55" w:rsidP="00851C1E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Is there specific, targeted content that students should focus their time </w:t>
            </w:r>
            <w:r w:rsidR="00493ECF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learning/reviewing, or </w:t>
            </w:r>
            <w:r w:rsidR="00DB49A1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would students benefit from a general overview of the grade leve</w:t>
            </w:r>
            <w:r w:rsidR="003025F8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l content/course?</w:t>
            </w:r>
          </w:p>
        </w:tc>
      </w:tr>
      <w:tr w:rsidR="00AD62D9" w14:paraId="159A3582" w14:textId="77777777" w:rsidTr="00B2371E">
        <w:tc>
          <w:tcPr>
            <w:tcW w:w="2155" w:type="dxa"/>
          </w:tcPr>
          <w:p w14:paraId="5B654D4D" w14:textId="63C249A1" w:rsidR="00AD62D9" w:rsidRPr="00731A7C" w:rsidRDefault="00872772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Instructional </w:t>
            </w:r>
            <w:r w:rsidR="00BC7C94"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Delivery </w:t>
            </w: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Model</w:t>
            </w:r>
          </w:p>
        </w:tc>
        <w:tc>
          <w:tcPr>
            <w:tcW w:w="10795" w:type="dxa"/>
          </w:tcPr>
          <w:p w14:paraId="58537AC8" w14:textId="6F4A5242" w:rsidR="00AD62D9" w:rsidRPr="00731A7C" w:rsidRDefault="00872772" w:rsidP="00872772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What is the instructional </w:t>
            </w:r>
            <w:r w:rsidR="006E3FB3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delivery model that will be used for this </w:t>
            </w:r>
            <w:r w:rsidR="00035129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grade level content/course?</w:t>
            </w:r>
          </w:p>
        </w:tc>
      </w:tr>
      <w:tr w:rsidR="00AD62D9" w14:paraId="240B481C" w14:textId="77777777" w:rsidTr="00B2371E">
        <w:tc>
          <w:tcPr>
            <w:tcW w:w="2155" w:type="dxa"/>
          </w:tcPr>
          <w:p w14:paraId="58037073" w14:textId="2E0A3E26" w:rsidR="00AD62D9" w:rsidRPr="00731A7C" w:rsidRDefault="00035129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Instructional Materials Purchased</w:t>
            </w:r>
          </w:p>
        </w:tc>
        <w:tc>
          <w:tcPr>
            <w:tcW w:w="10795" w:type="dxa"/>
          </w:tcPr>
          <w:p w14:paraId="56F1E460" w14:textId="77777777" w:rsidR="00AD62D9" w:rsidRPr="00731A7C" w:rsidRDefault="00435AE8" w:rsidP="00035129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What materials have already been purchased for this </w:t>
            </w:r>
            <w:r w:rsidR="0013178F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grade level </w:t>
            </w: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content/course</w:t>
            </w:r>
            <w:r w:rsidR="0013178F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?</w:t>
            </w:r>
          </w:p>
          <w:p w14:paraId="3DC6D38F" w14:textId="77777777" w:rsidR="0067262F" w:rsidRPr="00731A7C" w:rsidRDefault="0029250D" w:rsidP="003D14CD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components of the purchased product can be used to support the continuity vision and instructional model?</w:t>
            </w:r>
          </w:p>
          <w:p w14:paraId="16FDDCC6" w14:textId="4C8A3F08" w:rsidR="003D14CD" w:rsidRPr="00731A7C" w:rsidRDefault="003D14CD" w:rsidP="003D14CD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Is there an additional option available for the product that could be obtained to support continuity vision and </w:t>
            </w:r>
            <w:r w:rsidR="00BC7C94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instructional delivery model?</w:t>
            </w:r>
          </w:p>
        </w:tc>
      </w:tr>
      <w:tr w:rsidR="00AD62D9" w14:paraId="52E92BB5" w14:textId="77777777" w:rsidTr="00B2371E">
        <w:tc>
          <w:tcPr>
            <w:tcW w:w="2155" w:type="dxa"/>
          </w:tcPr>
          <w:p w14:paraId="5FDA2C24" w14:textId="7242AC21" w:rsidR="00AD62D9" w:rsidRPr="00731A7C" w:rsidRDefault="0067704A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Additional Materials Needed</w:t>
            </w:r>
          </w:p>
        </w:tc>
        <w:tc>
          <w:tcPr>
            <w:tcW w:w="10795" w:type="dxa"/>
          </w:tcPr>
          <w:p w14:paraId="4FDC5657" w14:textId="6FBFC01D" w:rsidR="00AD62D9" w:rsidRPr="00731A7C" w:rsidRDefault="0067704A" w:rsidP="0067704A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additional materials, tools, or programs are needed to support the continuity vision and instr</w:t>
            </w:r>
            <w:r w:rsidR="001474FB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uction</w:t>
            </w:r>
            <w:r w:rsidR="00143D8E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al model?</w:t>
            </w:r>
          </w:p>
        </w:tc>
      </w:tr>
      <w:tr w:rsidR="00AD62D9" w14:paraId="43A8DE9B" w14:textId="77777777" w:rsidTr="00B2371E">
        <w:tc>
          <w:tcPr>
            <w:tcW w:w="2155" w:type="dxa"/>
          </w:tcPr>
          <w:p w14:paraId="563EB25E" w14:textId="1A57F3C1" w:rsidR="00AD62D9" w:rsidRPr="00731A7C" w:rsidRDefault="006E68A3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Supports for All Learners</w:t>
            </w:r>
          </w:p>
        </w:tc>
        <w:tc>
          <w:tcPr>
            <w:tcW w:w="10795" w:type="dxa"/>
          </w:tcPr>
          <w:p w14:paraId="047E0363" w14:textId="77777777" w:rsidR="00AD62D9" w:rsidRPr="00731A7C" w:rsidRDefault="00747EE6" w:rsidP="00766A3F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How do your previously purchased materials </w:t>
            </w:r>
            <w:r w:rsidR="0015052D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and/or additional materials under consideration </w:t>
            </w:r>
            <w:r w:rsidR="00062908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 xml:space="preserve">support all learners? </w:t>
            </w:r>
          </w:p>
          <w:p w14:paraId="3E4DA467" w14:textId="36CE2FAD" w:rsidR="00062908" w:rsidRPr="00731A7C" w:rsidRDefault="00E309C7" w:rsidP="00766A3F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additional materials and/or systems will need to be established in order to s</w:t>
            </w:r>
            <w:r w:rsidR="00785FA6"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upport all learners?</w:t>
            </w:r>
          </w:p>
        </w:tc>
      </w:tr>
      <w:tr w:rsidR="00AD62D9" w14:paraId="4618C18A" w14:textId="77777777" w:rsidTr="00B2371E">
        <w:tc>
          <w:tcPr>
            <w:tcW w:w="2155" w:type="dxa"/>
          </w:tcPr>
          <w:p w14:paraId="4070BC52" w14:textId="66F8049E" w:rsidR="00AD62D9" w:rsidRPr="00731A7C" w:rsidRDefault="00B26BCF" w:rsidP="00331D28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Progress Monitoring</w:t>
            </w:r>
          </w:p>
        </w:tc>
        <w:tc>
          <w:tcPr>
            <w:tcW w:w="10795" w:type="dxa"/>
          </w:tcPr>
          <w:p w14:paraId="2384EA5C" w14:textId="77777777" w:rsidR="00AD62D9" w:rsidRPr="00731A7C" w:rsidRDefault="00731A7C" w:rsidP="00B26BC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What progress monitoring tools do the previously purchased and additional instructional materials under consideration provide?</w:t>
            </w:r>
          </w:p>
          <w:p w14:paraId="3FF571BA" w14:textId="5294F432" w:rsidR="00731A7C" w:rsidRPr="00731A7C" w:rsidRDefault="00731A7C" w:rsidP="00B26BC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Cs/>
                <w:color w:val="0070C0"/>
                <w:sz w:val="22"/>
                <w:szCs w:val="22"/>
              </w:rPr>
              <w:t>How do the provided progress monitoring tools integrate with progress monitoring systems that are already in place?</w:t>
            </w:r>
          </w:p>
        </w:tc>
      </w:tr>
    </w:tbl>
    <w:p w14:paraId="09465592" w14:textId="6A4D8134" w:rsidR="00B455B3" w:rsidRDefault="00B455B3" w:rsidP="00331D28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06553086" w14:textId="0D332BB9" w:rsidR="00422293" w:rsidRDefault="00422293" w:rsidP="1AD41D5C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373121BE" w14:textId="77777777" w:rsidR="00422293" w:rsidRDefault="00422293" w:rsidP="1AD41D5C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05FAE776" w14:textId="77777777" w:rsidR="000F2540" w:rsidRDefault="000F2540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136AB9C8" w14:textId="77777777" w:rsidR="00731A7C" w:rsidRDefault="00731A7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635A5A67" w14:textId="05534DBA" w:rsidR="00731A7C" w:rsidRDefault="00CE660E" w:rsidP="00CD724A">
      <w:pP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lastRenderedPageBreak/>
        <w:t>Sample</w:t>
      </w:r>
      <w:r w:rsidR="00B34E93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 xml:space="preserve"> Assess Instructional </w:t>
      </w:r>
      <w:r w:rsidR="00371EBB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Materials Access Template</w:t>
      </w:r>
    </w:p>
    <w:p w14:paraId="6AE813A9" w14:textId="71A4E784" w:rsidR="00731A7C" w:rsidRDefault="00CE660E" w:rsidP="00CD724A">
      <w:pPr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The sample below is provided </w:t>
      </w:r>
      <w:r w:rsidR="0028266F">
        <w:rPr>
          <w:rFonts w:ascii="Calibri" w:eastAsia="Calibri" w:hAnsi="Calibri" w:cs="Calibri"/>
          <w:color w:val="auto"/>
          <w:sz w:val="22"/>
          <w:szCs w:val="22"/>
        </w:rPr>
        <w:t xml:space="preserve">to illustrate use of the template.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795"/>
      </w:tblGrid>
      <w:tr w:rsidR="00731A7C" w:rsidRPr="00731A7C" w14:paraId="7CCD3547" w14:textId="77777777" w:rsidTr="00B01ADF">
        <w:tc>
          <w:tcPr>
            <w:tcW w:w="12950" w:type="dxa"/>
            <w:gridSpan w:val="2"/>
            <w:shd w:val="clear" w:color="auto" w:fill="C6E0EB" w:themeFill="accent1" w:themeFillTint="33"/>
          </w:tcPr>
          <w:p w14:paraId="5592D39E" w14:textId="59A409EC" w:rsidR="00731A7C" w:rsidRPr="003A1003" w:rsidRDefault="00731A7C" w:rsidP="00D51763">
            <w:pPr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Content/Course: </w:t>
            </w:r>
            <w:r w:rsidR="003A1003" w:rsidRPr="001C3DD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Math</w:t>
            </w:r>
            <w:r w:rsidRPr="001C3DD7">
              <w:rPr>
                <w:rFonts w:ascii="Calibri" w:eastAsia="Calibri" w:hAnsi="Calibri" w:cs="Calibr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                                                      Grade Level:</w:t>
            </w:r>
            <w:r w:rsidR="003A1003" w:rsidRPr="001C3DD7">
              <w:rPr>
                <w:rFonts w:ascii="Calibri" w:eastAsia="Calibri" w:hAnsi="Calibri" w:cs="Calibr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A1003" w:rsidRPr="001C3DD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4</w:t>
            </w:r>
            <w:r w:rsidR="003A1003" w:rsidRPr="001C3DD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vertAlign w:val="superscript"/>
              </w:rPr>
              <w:t>th</w:t>
            </w:r>
            <w:r w:rsidR="003A1003">
              <w:rPr>
                <w:rFonts w:ascii="Calibri" w:eastAsia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731A7C" w14:paraId="1EA0AE56" w14:textId="77777777" w:rsidTr="001C3DD7">
        <w:tc>
          <w:tcPr>
            <w:tcW w:w="2155" w:type="dxa"/>
          </w:tcPr>
          <w:p w14:paraId="6781DFAC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Instructional Continuity Vision</w:t>
            </w:r>
          </w:p>
        </w:tc>
        <w:tc>
          <w:tcPr>
            <w:tcW w:w="10795" w:type="dxa"/>
            <w:shd w:val="clear" w:color="auto" w:fill="FFFFFF" w:themeFill="background1"/>
          </w:tcPr>
          <w:p w14:paraId="26E6AF55" w14:textId="77777777" w:rsidR="00731A7C" w:rsidRDefault="001C3DD7" w:rsidP="003A1003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r w:rsidRPr="001C3DD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Students in </w:t>
            </w: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4</w:t>
            </w:r>
            <w:r w:rsidRPr="001C3DD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grade math </w:t>
            </w:r>
            <w:r w:rsidR="00671DB1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will spend </w:t>
            </w:r>
            <w:r w:rsidR="0077378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most of</w:t>
            </w:r>
            <w:r w:rsidR="00671DB1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their time during at-home learning focusing on the </w:t>
            </w:r>
            <w:r w:rsidR="008E7828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primary</w:t>
            </w:r>
            <w:r w:rsidR="00671DB1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focal areas of the grade level that will most prepare them for </w:t>
            </w:r>
            <w:r w:rsidR="00902E2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5</w:t>
            </w:r>
            <w:r w:rsidR="00902E2A" w:rsidRPr="00902E2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vertAlign w:val="superscript"/>
              </w:rPr>
              <w:t>th</w:t>
            </w:r>
            <w:r w:rsidR="00902E2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grade math.  </w:t>
            </w:r>
            <w:r w:rsidR="008E7828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Based on previous data from this school year,</w:t>
            </w:r>
            <w:r w:rsidR="008925B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fractions and the </w:t>
            </w:r>
            <w:r w:rsidR="009F12F5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use of operations</w:t>
            </w:r>
            <w:r w:rsidR="0077378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- </w:t>
            </w:r>
            <w:r w:rsidR="009F12F5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particularly division</w:t>
            </w:r>
            <w:r w:rsidR="0077378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9460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–</w:t>
            </w:r>
            <w:r w:rsidR="0077378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9460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are appropriate focal areas </w:t>
            </w:r>
            <w:r w:rsidR="000F107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for students learning.  </w:t>
            </w:r>
            <w:r w:rsidR="008411C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A general overview and review of 4</w:t>
            </w:r>
            <w:r w:rsidR="008411C6" w:rsidRPr="008411C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vertAlign w:val="superscript"/>
              </w:rPr>
              <w:t>th</w:t>
            </w:r>
            <w:r w:rsidR="008411C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grade math content would also benefit students, but </w:t>
            </w:r>
            <w:r w:rsidR="0012076B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most time will be guided to both new learning and review of fractions and division skills.  </w:t>
            </w:r>
          </w:p>
          <w:p w14:paraId="409B3DDA" w14:textId="40B62643" w:rsidR="00BB7132" w:rsidRPr="001C3DD7" w:rsidRDefault="00BB7132" w:rsidP="003A1003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731A7C" w14:paraId="61E3EA96" w14:textId="77777777" w:rsidTr="001C3DD7">
        <w:tc>
          <w:tcPr>
            <w:tcW w:w="2155" w:type="dxa"/>
          </w:tcPr>
          <w:p w14:paraId="154CE06D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Instructional Delivery Model</w:t>
            </w:r>
          </w:p>
        </w:tc>
        <w:tc>
          <w:tcPr>
            <w:tcW w:w="10795" w:type="dxa"/>
            <w:shd w:val="clear" w:color="auto" w:fill="FFFFFF" w:themeFill="background1"/>
          </w:tcPr>
          <w:p w14:paraId="2A60B126" w14:textId="77777777" w:rsidR="00731A7C" w:rsidRDefault="000F107F" w:rsidP="001C3DD7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Since students use a combination of print and digital resources in school, the vision for at-home learning includes both print and digital resources that focus on these necessary skills.  </w:t>
            </w:r>
          </w:p>
          <w:p w14:paraId="414A7E81" w14:textId="7AE1254B" w:rsidR="00BB7132" w:rsidRPr="001C3DD7" w:rsidRDefault="00BB7132" w:rsidP="001C3DD7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731A7C" w14:paraId="1A141AEE" w14:textId="77777777" w:rsidTr="001C3DD7">
        <w:tc>
          <w:tcPr>
            <w:tcW w:w="2155" w:type="dxa"/>
          </w:tcPr>
          <w:p w14:paraId="7FAB6085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Instructional Materials Purchased</w:t>
            </w:r>
          </w:p>
        </w:tc>
        <w:tc>
          <w:tcPr>
            <w:tcW w:w="10795" w:type="dxa"/>
            <w:shd w:val="clear" w:color="auto" w:fill="FFFFFF" w:themeFill="background1"/>
          </w:tcPr>
          <w:p w14:paraId="653F3019" w14:textId="4E375A9B" w:rsidR="00731A7C" w:rsidRDefault="00147AF3" w:rsidP="002C27B5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We have purchased Go Math! for in-class instruction, as well as </w:t>
            </w:r>
            <w:proofErr w:type="spellStart"/>
            <w:r w:rsidR="00055A1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for digital learning.  </w:t>
            </w:r>
            <w:r w:rsidR="006E0E8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Students are</w:t>
            </w:r>
            <w:r w:rsidR="00BF14CB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familiar with the print materials of Go Math! and are proficient in navigating the digital platform of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BF14CB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.  </w:t>
            </w:r>
            <w:r w:rsidR="00E916D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Therefore, we can leverage printed packets of Go Math! materials </w:t>
            </w:r>
            <w:r w:rsidR="00CD6D1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alongside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CD6D1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E5EE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to </w:t>
            </w:r>
            <w:r w:rsidR="00B4009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allow for continuity in </w:t>
            </w:r>
            <w:r w:rsidR="00F5138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students’ learning experiences.</w:t>
            </w:r>
            <w:r w:rsidR="006F6810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 Go Math! will continue to give our students access to </w:t>
            </w:r>
            <w:r w:rsidR="009B7D0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building their conceptual understanding and application of skills, while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9B7D0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will be primarily used for</w:t>
            </w:r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reinforcement of skills and for</w:t>
            </w:r>
            <w:r w:rsidR="009B7D0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fluency practice.  </w:t>
            </w:r>
            <w:r w:rsidR="00F5138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3E17DD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1497AEA8" w14:textId="5A78BEDE" w:rsidR="00BB7132" w:rsidRPr="001C3DD7" w:rsidRDefault="00BB7132" w:rsidP="002C27B5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731A7C" w14:paraId="71E3B81A" w14:textId="77777777" w:rsidTr="001C3DD7">
        <w:tc>
          <w:tcPr>
            <w:tcW w:w="2155" w:type="dxa"/>
          </w:tcPr>
          <w:p w14:paraId="1059E345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Additional Materials Needed</w:t>
            </w:r>
          </w:p>
        </w:tc>
        <w:tc>
          <w:tcPr>
            <w:tcW w:w="10795" w:type="dxa"/>
            <w:shd w:val="clear" w:color="auto" w:fill="FFFFFF" w:themeFill="background1"/>
          </w:tcPr>
          <w:p w14:paraId="613D9912" w14:textId="0B7540B0" w:rsidR="00731A7C" w:rsidRDefault="00296ABF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At this time, </w:t>
            </w:r>
            <w:r w:rsidR="0088259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we believe that a combination of Go Math! and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88259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will meet our current needs for at-home learning.  We will revisit some of the additional </w:t>
            </w:r>
            <w:r w:rsidR="006F6810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available resources later, if needed.  </w:t>
            </w:r>
          </w:p>
          <w:p w14:paraId="63709A7E" w14:textId="44252D09" w:rsidR="00BB7132" w:rsidRPr="001C3DD7" w:rsidRDefault="00BB7132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731A7C" w14:paraId="6CB1D250" w14:textId="77777777" w:rsidTr="001C3DD7">
        <w:tc>
          <w:tcPr>
            <w:tcW w:w="2155" w:type="dxa"/>
          </w:tcPr>
          <w:p w14:paraId="481A9F9A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Supports for All Learners</w:t>
            </w:r>
          </w:p>
        </w:tc>
        <w:tc>
          <w:tcPr>
            <w:tcW w:w="10795" w:type="dxa"/>
            <w:shd w:val="clear" w:color="auto" w:fill="FFFFFF" w:themeFill="background1"/>
          </w:tcPr>
          <w:p w14:paraId="6F971871" w14:textId="7D8B5F36" w:rsidR="0095463D" w:rsidRDefault="008C431E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Our plan is to </w:t>
            </w:r>
            <w:r w:rsidR="00BB713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ask special educators to </w:t>
            </w:r>
            <w:r w:rsidR="00C5027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review </w:t>
            </w:r>
            <w:r w:rsidR="00BB7132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the IEPs of students on their caseloads and identify which students will</w:t>
            </w:r>
            <w:r w:rsidR="00B1136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benefit from the plan of using Go Math! and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B1136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for at-home learning, and which students will need </w:t>
            </w:r>
            <w:r w:rsidR="008C3D9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a differentiated approach.</w:t>
            </w:r>
            <w:r w:rsidR="008677E7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  <w:r w:rsidR="008C3D9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95463D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Go Math! provides differentiation resources for lesson planning</w:t>
            </w:r>
            <w:r w:rsidR="0037206C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, which will be leveraged to create modified print packets and/or specialized, additional support provided through videos or calls.  </w:t>
            </w:r>
            <w:proofErr w:type="spellStart"/>
            <w:r w:rsidR="007F79D6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493BA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14772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is somewhat individualized to students’ needs and provides tutorials, hints, and narration to support students when they are struggling.  </w:t>
            </w:r>
          </w:p>
          <w:p w14:paraId="316AE3CC" w14:textId="68D9336F" w:rsidR="008677E7" w:rsidRPr="001C3DD7" w:rsidRDefault="008677E7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731A7C" w14:paraId="5046781D" w14:textId="77777777" w:rsidTr="001C3DD7">
        <w:tc>
          <w:tcPr>
            <w:tcW w:w="2155" w:type="dxa"/>
          </w:tcPr>
          <w:p w14:paraId="7CDE32A8" w14:textId="77777777" w:rsidR="00731A7C" w:rsidRPr="00731A7C" w:rsidRDefault="00731A7C" w:rsidP="00D51763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731A7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Progress Monitoring</w:t>
            </w:r>
          </w:p>
        </w:tc>
        <w:tc>
          <w:tcPr>
            <w:tcW w:w="10795" w:type="dxa"/>
            <w:shd w:val="clear" w:color="auto" w:fill="FFFFFF" w:themeFill="background1"/>
          </w:tcPr>
          <w:p w14:paraId="0E625FFE" w14:textId="4B79757A" w:rsidR="00731A7C" w:rsidRDefault="007F79D6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AD09E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tracks students’ progress through its platform</w:t>
            </w:r>
            <w:r w:rsidR="00BE136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, including the number of lessons and number of minutes that they have spent on the program and how they have performed</w:t>
            </w:r>
            <w:r w:rsidR="00AD09EE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.  Our district previously leveraged this feature of </w:t>
            </w:r>
            <w:proofErr w:type="spellStart"/>
            <w:r w:rsidR="00BE1364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>DreamBox</w:t>
            </w:r>
            <w:proofErr w:type="spellEnd"/>
            <w:r w:rsidR="00A71D2F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  <w:t xml:space="preserve"> and will continue to do so.  </w:t>
            </w:r>
          </w:p>
          <w:p w14:paraId="050FF569" w14:textId="70231ED2" w:rsidR="00AD09EE" w:rsidRPr="001C3DD7" w:rsidRDefault="00AD09EE" w:rsidP="00BF14CB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1A01E3F4" w14:textId="77777777" w:rsidR="00731A7C" w:rsidRDefault="00731A7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0501554E" w14:textId="77777777" w:rsidR="00E71FBC" w:rsidRPr="000F2540" w:rsidRDefault="00E71FBC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sectPr w:rsidR="00E71FBC" w:rsidRPr="000F2540" w:rsidSect="006E0541">
      <w:footerReference w:type="default" r:id="rId10"/>
      <w:pgSz w:w="15840" w:h="12240" w:orient="landscape"/>
      <w:pgMar w:top="1080" w:right="1440" w:bottom="108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284A" w14:textId="77777777" w:rsidR="004E6531" w:rsidRDefault="004E6531">
      <w:r>
        <w:separator/>
      </w:r>
    </w:p>
    <w:p w14:paraId="7BD66C35" w14:textId="77777777" w:rsidR="004E6531" w:rsidRDefault="004E6531"/>
  </w:endnote>
  <w:endnote w:type="continuationSeparator" w:id="0">
    <w:p w14:paraId="2771D777" w14:textId="77777777" w:rsidR="004E6531" w:rsidRDefault="004E6531">
      <w:r>
        <w:continuationSeparator/>
      </w:r>
    </w:p>
    <w:p w14:paraId="5563AD4C" w14:textId="77777777" w:rsidR="004E6531" w:rsidRDefault="004E6531"/>
  </w:endnote>
  <w:endnote w:type="continuationNotice" w:id="1">
    <w:p w14:paraId="412CA8FE" w14:textId="77777777" w:rsidR="004E6531" w:rsidRDefault="004E6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Pr="00422293" w:rsidRDefault="00D03AC1">
    <w:pPr>
      <w:pStyle w:val="Footer"/>
      <w:rPr>
        <w:sz w:val="20"/>
        <w:szCs w:val="20"/>
      </w:rPr>
    </w:pPr>
    <w:r w:rsidRPr="00422293">
      <w:rPr>
        <w:sz w:val="20"/>
        <w:szCs w:val="20"/>
      </w:rPr>
      <w:fldChar w:fldCharType="begin"/>
    </w:r>
    <w:r w:rsidRPr="00422293">
      <w:rPr>
        <w:sz w:val="20"/>
        <w:szCs w:val="20"/>
      </w:rPr>
      <w:instrText xml:space="preserve"> PAGE   \* MERGEFORMAT </w:instrText>
    </w:r>
    <w:r w:rsidRPr="00422293">
      <w:rPr>
        <w:sz w:val="20"/>
        <w:szCs w:val="20"/>
      </w:rPr>
      <w:fldChar w:fldCharType="separate"/>
    </w:r>
    <w:r w:rsidR="00EE3E7C" w:rsidRPr="00422293">
      <w:rPr>
        <w:noProof/>
        <w:sz w:val="20"/>
        <w:szCs w:val="20"/>
      </w:rPr>
      <w:t>2</w:t>
    </w:r>
    <w:r w:rsidRPr="004222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D067" w14:textId="77777777" w:rsidR="004E6531" w:rsidRDefault="004E6531">
      <w:r>
        <w:separator/>
      </w:r>
    </w:p>
    <w:p w14:paraId="246DEB51" w14:textId="77777777" w:rsidR="004E6531" w:rsidRDefault="004E6531"/>
  </w:footnote>
  <w:footnote w:type="continuationSeparator" w:id="0">
    <w:p w14:paraId="3C018B58" w14:textId="77777777" w:rsidR="004E6531" w:rsidRDefault="004E6531">
      <w:r>
        <w:continuationSeparator/>
      </w:r>
    </w:p>
    <w:p w14:paraId="224B8AC2" w14:textId="77777777" w:rsidR="004E6531" w:rsidRDefault="004E6531"/>
  </w:footnote>
  <w:footnote w:type="continuationNotice" w:id="1">
    <w:p w14:paraId="57BB8B8F" w14:textId="77777777" w:rsidR="004E6531" w:rsidRDefault="004E65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301"/>
    <w:multiLevelType w:val="hybridMultilevel"/>
    <w:tmpl w:val="ED82192C"/>
    <w:lvl w:ilvl="0" w:tplc="585049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D25A80"/>
    <w:multiLevelType w:val="hybridMultilevel"/>
    <w:tmpl w:val="5F12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14A4C"/>
    <w:multiLevelType w:val="hybridMultilevel"/>
    <w:tmpl w:val="052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0FA0"/>
    <w:multiLevelType w:val="hybridMultilevel"/>
    <w:tmpl w:val="484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6A6F"/>
    <w:multiLevelType w:val="hybridMultilevel"/>
    <w:tmpl w:val="A59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54F0"/>
    <w:multiLevelType w:val="hybridMultilevel"/>
    <w:tmpl w:val="90FA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C70CE"/>
    <w:multiLevelType w:val="hybridMultilevel"/>
    <w:tmpl w:val="B2D05126"/>
    <w:lvl w:ilvl="0" w:tplc="9D30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2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2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E2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2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8B0"/>
    <w:multiLevelType w:val="hybridMultilevel"/>
    <w:tmpl w:val="EEC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11641"/>
    <w:multiLevelType w:val="hybridMultilevel"/>
    <w:tmpl w:val="B3F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7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58FC"/>
    <w:rsid w:val="000345DD"/>
    <w:rsid w:val="00035129"/>
    <w:rsid w:val="00055A14"/>
    <w:rsid w:val="00062908"/>
    <w:rsid w:val="000F0A50"/>
    <w:rsid w:val="000F107F"/>
    <w:rsid w:val="000F2540"/>
    <w:rsid w:val="001047A5"/>
    <w:rsid w:val="001144CC"/>
    <w:rsid w:val="0012076B"/>
    <w:rsid w:val="0013178F"/>
    <w:rsid w:val="00136F88"/>
    <w:rsid w:val="00143D8E"/>
    <w:rsid w:val="001474FB"/>
    <w:rsid w:val="0014772F"/>
    <w:rsid w:val="00147AF3"/>
    <w:rsid w:val="0015052D"/>
    <w:rsid w:val="001522BB"/>
    <w:rsid w:val="0018221D"/>
    <w:rsid w:val="0019289B"/>
    <w:rsid w:val="001C0042"/>
    <w:rsid w:val="001C3DD7"/>
    <w:rsid w:val="001D5D6A"/>
    <w:rsid w:val="001E7A52"/>
    <w:rsid w:val="00212A99"/>
    <w:rsid w:val="002339B6"/>
    <w:rsid w:val="00233CAE"/>
    <w:rsid w:val="002803A7"/>
    <w:rsid w:val="00281993"/>
    <w:rsid w:val="0028266F"/>
    <w:rsid w:val="0029250D"/>
    <w:rsid w:val="00295363"/>
    <w:rsid w:val="00296826"/>
    <w:rsid w:val="00296ABF"/>
    <w:rsid w:val="002B47DC"/>
    <w:rsid w:val="002C27B5"/>
    <w:rsid w:val="002D03AC"/>
    <w:rsid w:val="003025F8"/>
    <w:rsid w:val="00331D28"/>
    <w:rsid w:val="00364160"/>
    <w:rsid w:val="00371EBB"/>
    <w:rsid w:val="0037206C"/>
    <w:rsid w:val="003A1003"/>
    <w:rsid w:val="003A5589"/>
    <w:rsid w:val="003A5EA5"/>
    <w:rsid w:val="003D14CD"/>
    <w:rsid w:val="003D1DCC"/>
    <w:rsid w:val="003D2BFA"/>
    <w:rsid w:val="003E17DD"/>
    <w:rsid w:val="00404CFD"/>
    <w:rsid w:val="00404ED2"/>
    <w:rsid w:val="00406DB4"/>
    <w:rsid w:val="00422293"/>
    <w:rsid w:val="00422690"/>
    <w:rsid w:val="0042456B"/>
    <w:rsid w:val="0042495A"/>
    <w:rsid w:val="00430E5A"/>
    <w:rsid w:val="00435AE8"/>
    <w:rsid w:val="00447041"/>
    <w:rsid w:val="004539F9"/>
    <w:rsid w:val="0045629F"/>
    <w:rsid w:val="00476AA3"/>
    <w:rsid w:val="00493BAA"/>
    <w:rsid w:val="00493ECF"/>
    <w:rsid w:val="004B6C9C"/>
    <w:rsid w:val="004D10B7"/>
    <w:rsid w:val="004E3073"/>
    <w:rsid w:val="004E6531"/>
    <w:rsid w:val="004F5E40"/>
    <w:rsid w:val="00544F39"/>
    <w:rsid w:val="00557297"/>
    <w:rsid w:val="0057066A"/>
    <w:rsid w:val="0058464E"/>
    <w:rsid w:val="0059587D"/>
    <w:rsid w:val="005D046E"/>
    <w:rsid w:val="005D0C7F"/>
    <w:rsid w:val="005D4103"/>
    <w:rsid w:val="005F70E1"/>
    <w:rsid w:val="006257E4"/>
    <w:rsid w:val="0064445F"/>
    <w:rsid w:val="00671DB1"/>
    <w:rsid w:val="0067262F"/>
    <w:rsid w:val="00674A56"/>
    <w:rsid w:val="0067704A"/>
    <w:rsid w:val="006A0B09"/>
    <w:rsid w:val="006A2EE4"/>
    <w:rsid w:val="006C1781"/>
    <w:rsid w:val="006E0541"/>
    <w:rsid w:val="006E0E87"/>
    <w:rsid w:val="006E3FB3"/>
    <w:rsid w:val="006E68A3"/>
    <w:rsid w:val="006F6810"/>
    <w:rsid w:val="006F7CAF"/>
    <w:rsid w:val="00705520"/>
    <w:rsid w:val="00706C47"/>
    <w:rsid w:val="00716638"/>
    <w:rsid w:val="00731A7C"/>
    <w:rsid w:val="00732419"/>
    <w:rsid w:val="00733795"/>
    <w:rsid w:val="00747EE6"/>
    <w:rsid w:val="007635E4"/>
    <w:rsid w:val="00766A3F"/>
    <w:rsid w:val="00773782"/>
    <w:rsid w:val="00785FA6"/>
    <w:rsid w:val="007962A0"/>
    <w:rsid w:val="007F79D6"/>
    <w:rsid w:val="00804477"/>
    <w:rsid w:val="008128EA"/>
    <w:rsid w:val="00833B7A"/>
    <w:rsid w:val="008411C6"/>
    <w:rsid w:val="00847144"/>
    <w:rsid w:val="00851C1E"/>
    <w:rsid w:val="008677E7"/>
    <w:rsid w:val="00872772"/>
    <w:rsid w:val="00882592"/>
    <w:rsid w:val="008925B3"/>
    <w:rsid w:val="008B53BC"/>
    <w:rsid w:val="008C3D9F"/>
    <w:rsid w:val="008C431E"/>
    <w:rsid w:val="008D33EC"/>
    <w:rsid w:val="008E7828"/>
    <w:rsid w:val="008F6B47"/>
    <w:rsid w:val="00902E2A"/>
    <w:rsid w:val="0095463D"/>
    <w:rsid w:val="009563F8"/>
    <w:rsid w:val="009870FA"/>
    <w:rsid w:val="009A0075"/>
    <w:rsid w:val="009B3054"/>
    <w:rsid w:val="009B62ED"/>
    <w:rsid w:val="009B7D04"/>
    <w:rsid w:val="009D2B19"/>
    <w:rsid w:val="009D6385"/>
    <w:rsid w:val="009E339A"/>
    <w:rsid w:val="009E74F9"/>
    <w:rsid w:val="009F12F5"/>
    <w:rsid w:val="00A71D2F"/>
    <w:rsid w:val="00A72AAF"/>
    <w:rsid w:val="00AC546B"/>
    <w:rsid w:val="00AD09EE"/>
    <w:rsid w:val="00AD62D9"/>
    <w:rsid w:val="00B01ADF"/>
    <w:rsid w:val="00B03512"/>
    <w:rsid w:val="00B045AF"/>
    <w:rsid w:val="00B1136F"/>
    <w:rsid w:val="00B16340"/>
    <w:rsid w:val="00B2371E"/>
    <w:rsid w:val="00B26BCF"/>
    <w:rsid w:val="00B34E93"/>
    <w:rsid w:val="00B4009A"/>
    <w:rsid w:val="00B455B3"/>
    <w:rsid w:val="00B51886"/>
    <w:rsid w:val="00B93BBD"/>
    <w:rsid w:val="00B94604"/>
    <w:rsid w:val="00BB4018"/>
    <w:rsid w:val="00BB7132"/>
    <w:rsid w:val="00BC7C94"/>
    <w:rsid w:val="00BE1364"/>
    <w:rsid w:val="00BF14CB"/>
    <w:rsid w:val="00BF75AB"/>
    <w:rsid w:val="00C00CB4"/>
    <w:rsid w:val="00C31238"/>
    <w:rsid w:val="00C31B91"/>
    <w:rsid w:val="00C3614E"/>
    <w:rsid w:val="00C5027E"/>
    <w:rsid w:val="00C6719A"/>
    <w:rsid w:val="00C7194E"/>
    <w:rsid w:val="00C922B4"/>
    <w:rsid w:val="00C941E6"/>
    <w:rsid w:val="00CB20F3"/>
    <w:rsid w:val="00CD6D13"/>
    <w:rsid w:val="00CD724A"/>
    <w:rsid w:val="00CE660E"/>
    <w:rsid w:val="00D03AC1"/>
    <w:rsid w:val="00D126E3"/>
    <w:rsid w:val="00D62D6B"/>
    <w:rsid w:val="00DB49A1"/>
    <w:rsid w:val="00DC274F"/>
    <w:rsid w:val="00DC2CF0"/>
    <w:rsid w:val="00DE5EE6"/>
    <w:rsid w:val="00DF1C0C"/>
    <w:rsid w:val="00E05E55"/>
    <w:rsid w:val="00E309C7"/>
    <w:rsid w:val="00E45F70"/>
    <w:rsid w:val="00E50F5C"/>
    <w:rsid w:val="00E5500E"/>
    <w:rsid w:val="00E7070D"/>
    <w:rsid w:val="00E71FBC"/>
    <w:rsid w:val="00E803D2"/>
    <w:rsid w:val="00E916DE"/>
    <w:rsid w:val="00EB0C30"/>
    <w:rsid w:val="00EB325C"/>
    <w:rsid w:val="00ED2D25"/>
    <w:rsid w:val="00EE3E7C"/>
    <w:rsid w:val="00F00866"/>
    <w:rsid w:val="00F11BAC"/>
    <w:rsid w:val="00F16361"/>
    <w:rsid w:val="00F5138E"/>
    <w:rsid w:val="00F54526"/>
    <w:rsid w:val="00F6670B"/>
    <w:rsid w:val="00F86390"/>
    <w:rsid w:val="00F906B0"/>
    <w:rsid w:val="00FA0861"/>
    <w:rsid w:val="00FA95EB"/>
    <w:rsid w:val="00FB1DB4"/>
    <w:rsid w:val="00FE7528"/>
    <w:rsid w:val="0296664C"/>
    <w:rsid w:val="0338B23E"/>
    <w:rsid w:val="038EE404"/>
    <w:rsid w:val="04A07DE0"/>
    <w:rsid w:val="0521B0A5"/>
    <w:rsid w:val="08595167"/>
    <w:rsid w:val="08C8D93E"/>
    <w:rsid w:val="0975AB7B"/>
    <w:rsid w:val="097ECF2E"/>
    <w:rsid w:val="0A721237"/>
    <w:rsid w:val="0A7B3E62"/>
    <w:rsid w:val="0AA46DB0"/>
    <w:rsid w:val="0C023767"/>
    <w:rsid w:val="0C41D086"/>
    <w:rsid w:val="0C5FCE76"/>
    <w:rsid w:val="0C950DEF"/>
    <w:rsid w:val="0D7F4FC5"/>
    <w:rsid w:val="0F1E2016"/>
    <w:rsid w:val="0F425C2C"/>
    <w:rsid w:val="1030A2A7"/>
    <w:rsid w:val="135C4079"/>
    <w:rsid w:val="14D6386F"/>
    <w:rsid w:val="16374962"/>
    <w:rsid w:val="16B732F2"/>
    <w:rsid w:val="184C1D7F"/>
    <w:rsid w:val="1869BBC2"/>
    <w:rsid w:val="187F368C"/>
    <w:rsid w:val="18BADF2F"/>
    <w:rsid w:val="18D01615"/>
    <w:rsid w:val="18E510BF"/>
    <w:rsid w:val="1A4EBDE9"/>
    <w:rsid w:val="1AD41D5C"/>
    <w:rsid w:val="1AEA6462"/>
    <w:rsid w:val="1C8069DE"/>
    <w:rsid w:val="1E4CB283"/>
    <w:rsid w:val="1EB3893D"/>
    <w:rsid w:val="1EFF8111"/>
    <w:rsid w:val="20891BD9"/>
    <w:rsid w:val="22807617"/>
    <w:rsid w:val="25B88CED"/>
    <w:rsid w:val="2687D2ED"/>
    <w:rsid w:val="287C4BAA"/>
    <w:rsid w:val="29D2F41E"/>
    <w:rsid w:val="2BD37B15"/>
    <w:rsid w:val="2C0A1014"/>
    <w:rsid w:val="2E80798C"/>
    <w:rsid w:val="309750C0"/>
    <w:rsid w:val="3100559A"/>
    <w:rsid w:val="327D103E"/>
    <w:rsid w:val="341AB884"/>
    <w:rsid w:val="35FDFE0D"/>
    <w:rsid w:val="3649BD2F"/>
    <w:rsid w:val="36E4D6C9"/>
    <w:rsid w:val="36EC3BF2"/>
    <w:rsid w:val="37C41401"/>
    <w:rsid w:val="38743B4C"/>
    <w:rsid w:val="38D32965"/>
    <w:rsid w:val="391D40BB"/>
    <w:rsid w:val="397B9EDF"/>
    <w:rsid w:val="3AE492B3"/>
    <w:rsid w:val="3C2F6BDF"/>
    <w:rsid w:val="3CDC3AA3"/>
    <w:rsid w:val="3D47A756"/>
    <w:rsid w:val="3D59D316"/>
    <w:rsid w:val="3D62AE4F"/>
    <w:rsid w:val="3DB8AA40"/>
    <w:rsid w:val="3DD02260"/>
    <w:rsid w:val="3E82B2A8"/>
    <w:rsid w:val="3FC503B4"/>
    <w:rsid w:val="4869DC8D"/>
    <w:rsid w:val="4A62DAB3"/>
    <w:rsid w:val="4D6981E4"/>
    <w:rsid w:val="4EE0A5F5"/>
    <w:rsid w:val="4FC8765D"/>
    <w:rsid w:val="5168B165"/>
    <w:rsid w:val="586D64BA"/>
    <w:rsid w:val="593F7B4D"/>
    <w:rsid w:val="597A82CF"/>
    <w:rsid w:val="59B6C1FB"/>
    <w:rsid w:val="59EF90B2"/>
    <w:rsid w:val="5B6360E4"/>
    <w:rsid w:val="5BEE5952"/>
    <w:rsid w:val="5CB36DB5"/>
    <w:rsid w:val="5E39D9BA"/>
    <w:rsid w:val="5E547EC8"/>
    <w:rsid w:val="6145ECC8"/>
    <w:rsid w:val="6268B25E"/>
    <w:rsid w:val="64BF7BAB"/>
    <w:rsid w:val="683E2CEE"/>
    <w:rsid w:val="6A171DD9"/>
    <w:rsid w:val="6A786046"/>
    <w:rsid w:val="6C39C2C4"/>
    <w:rsid w:val="6E04E076"/>
    <w:rsid w:val="72125342"/>
    <w:rsid w:val="724E7EA7"/>
    <w:rsid w:val="72B89CB8"/>
    <w:rsid w:val="73B0A1DA"/>
    <w:rsid w:val="7666C8C2"/>
    <w:rsid w:val="77027C75"/>
    <w:rsid w:val="77410C74"/>
    <w:rsid w:val="7819B8C7"/>
    <w:rsid w:val="79677559"/>
    <w:rsid w:val="797F7B36"/>
    <w:rsid w:val="7BBEE9F1"/>
    <w:rsid w:val="7C8FB964"/>
    <w:rsid w:val="7CA65800"/>
    <w:rsid w:val="7D0C3C99"/>
    <w:rsid w:val="7D857B85"/>
    <w:rsid w:val="7F8F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7B4D"/>
  <w15:chartTrackingRefBased/>
  <w15:docId w15:val="{ED36E7B5-58F4-4581-8623-B2290AC2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FFFD6-F528-4728-A2BD-31FA0D4EC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F5697-4DF6-47A2-8110-5C173CA9E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45561-3FF3-4560-8C56-E6925EA57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Assess Instructional Materials Access</dc:title>
  <dc:subject/>
  <dc:creator>Lautenschlager, Melissa</dc:creator>
  <cp:keywords>Instructional Continuity Planning Framework</cp:keywords>
  <dc:description/>
  <cp:lastModifiedBy>Heinrich, Ronald</cp:lastModifiedBy>
  <cp:revision>125</cp:revision>
  <dcterms:created xsi:type="dcterms:W3CDTF">2020-03-24T02:41:00Z</dcterms:created>
  <dcterms:modified xsi:type="dcterms:W3CDTF">2020-04-01T02:20:00Z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