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A2550" w14:textId="77777777" w:rsidR="00F95473" w:rsidRDefault="00FB7C22">
      <w:pPr>
        <w:pStyle w:val="BodyText"/>
        <w:spacing w:before="74"/>
        <w:ind w:left="118" w:right="111" w:firstLine="1"/>
      </w:pPr>
      <w:bookmarkStart w:id="0" w:name="_Hlk56767907"/>
      <w:r>
        <w:t>To help ensure Texas students are prepared for in-demand, high-skill, high-wage careers, the Texas Education Agency (TEA) has engaged with members of the workforce to help identify industry-based certifications (IBCs) that are recognized and valued within industry sectors. The first step in the review process includ</w:t>
      </w:r>
      <w:r w:rsidR="00057DD2">
        <w:t>es</w:t>
      </w:r>
      <w:r>
        <w:t xml:space="preserve"> employers </w:t>
      </w:r>
      <w:r w:rsidR="00057DD2">
        <w:t xml:space="preserve">and other stakeholders </w:t>
      </w:r>
      <w:r>
        <w:t xml:space="preserve">from across Texas completing an industry-based certification </w:t>
      </w:r>
      <w:r w:rsidR="00DE2E13">
        <w:t>application</w:t>
      </w:r>
      <w:r>
        <w:t xml:space="preserve"> </w:t>
      </w:r>
      <w:r w:rsidR="00057DD2">
        <w:t xml:space="preserve">to submit industry-based certifications that are not </w:t>
      </w:r>
      <w:r w:rsidR="00E83854">
        <w:t xml:space="preserve">currently </w:t>
      </w:r>
      <w:r w:rsidR="00057DD2">
        <w:t xml:space="preserve">included on the </w:t>
      </w:r>
      <w:r w:rsidR="00E83854">
        <w:t>2020 Industry-based Certification List for Public School Accountability</w:t>
      </w:r>
      <w:r>
        <w:t xml:space="preserve">. </w:t>
      </w:r>
      <w:r w:rsidR="00057DD2">
        <w:t xml:space="preserve">The TEA has engaged a third-party vendor to conduct the evaluation of the Industry Valued criteria </w:t>
      </w:r>
      <w:r w:rsidR="00E83854">
        <w:t>for</w:t>
      </w:r>
      <w:r w:rsidR="00057DD2">
        <w:t xml:space="preserve"> each submitted industry-based certification. </w:t>
      </w:r>
      <w:r>
        <w:t xml:space="preserve">Industry-based certifications that meet the industry valued </w:t>
      </w:r>
      <w:r w:rsidR="00E83854">
        <w:t>criteria</w:t>
      </w:r>
      <w:r>
        <w:t xml:space="preserve"> will continue through the review process being evaluated on </w:t>
      </w:r>
      <w:r w:rsidR="00057DD2">
        <w:t xml:space="preserve">four additional </w:t>
      </w:r>
      <w:r>
        <w:t xml:space="preserve">criteria including </w:t>
      </w:r>
      <w:r w:rsidR="00E83854">
        <w:t xml:space="preserve">attainable by high school students, transferable/portable, </w:t>
      </w:r>
      <w:r>
        <w:t xml:space="preserve">third-party provider, </w:t>
      </w:r>
      <w:r w:rsidR="00E83854">
        <w:t xml:space="preserve">and </w:t>
      </w:r>
      <w:r>
        <w:t>capstone. The following Evaluation Criteria have been developed to serve as an objective guide when evaluating each industry-based</w:t>
      </w:r>
      <w:r>
        <w:rPr>
          <w:spacing w:val="-4"/>
        </w:rPr>
        <w:t xml:space="preserve"> </w:t>
      </w:r>
      <w:r>
        <w:t>certification.</w:t>
      </w:r>
    </w:p>
    <w:p w14:paraId="4D8613D3" w14:textId="77777777" w:rsidR="00F95473" w:rsidRDefault="00F95473">
      <w:pPr>
        <w:pStyle w:val="BodyText"/>
        <w:spacing w:before="7"/>
        <w:rPr>
          <w:sz w:val="25"/>
        </w:rPr>
      </w:pPr>
    </w:p>
    <w:p w14:paraId="2BB37479" w14:textId="77777777" w:rsidR="00F95473" w:rsidRDefault="00FB7C22" w:rsidP="00B92837">
      <w:pPr>
        <w:pStyle w:val="Heading1"/>
        <w:spacing w:before="0"/>
        <w:ind w:left="0"/>
      </w:pPr>
      <w:bookmarkStart w:id="1" w:name="Industry_Recognized_and_Valued"/>
      <w:bookmarkEnd w:id="1"/>
      <w:bookmarkEnd w:id="0"/>
      <w:r>
        <w:rPr>
          <w:color w:val="1F3864"/>
        </w:rPr>
        <w:t>Industry Recognized and Valued</w:t>
      </w:r>
    </w:p>
    <w:p w14:paraId="1E88123D" w14:textId="77777777" w:rsidR="00F95473" w:rsidRDefault="00F95473">
      <w:pPr>
        <w:pStyle w:val="BodyText"/>
        <w:rPr>
          <w:rFonts w:ascii="Calibri Light"/>
          <w:sz w:val="20"/>
        </w:rPr>
      </w:pPr>
    </w:p>
    <w:tbl>
      <w:tblPr>
        <w:tblW w:w="101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8550"/>
      </w:tblGrid>
      <w:tr w:rsidR="00F95473" w14:paraId="37DC85E2" w14:textId="77777777" w:rsidTr="003354E3">
        <w:trPr>
          <w:trHeight w:val="268"/>
        </w:trPr>
        <w:tc>
          <w:tcPr>
            <w:tcW w:w="1620" w:type="dxa"/>
            <w:shd w:val="clear" w:color="auto" w:fill="DADADA"/>
          </w:tcPr>
          <w:p w14:paraId="65305E30" w14:textId="77777777" w:rsidR="00F95473" w:rsidRDefault="00FB7C22">
            <w:pPr>
              <w:pStyle w:val="TableParagraph"/>
              <w:spacing w:line="248" w:lineRule="exact"/>
              <w:ind w:left="429"/>
              <w:rPr>
                <w:b/>
              </w:rPr>
            </w:pPr>
            <w:r>
              <w:rPr>
                <w:b/>
              </w:rPr>
              <w:t>Element</w:t>
            </w:r>
          </w:p>
        </w:tc>
        <w:tc>
          <w:tcPr>
            <w:tcW w:w="8550" w:type="dxa"/>
            <w:shd w:val="clear" w:color="auto" w:fill="DADADA"/>
          </w:tcPr>
          <w:p w14:paraId="0B9A41D7" w14:textId="77777777" w:rsidR="00F95473" w:rsidRDefault="00FB7C22">
            <w:pPr>
              <w:pStyle w:val="TableParagraph"/>
              <w:spacing w:line="248" w:lineRule="exact"/>
              <w:ind w:left="2402"/>
              <w:rPr>
                <w:b/>
              </w:rPr>
            </w:pPr>
            <w:r>
              <w:rPr>
                <w:b/>
              </w:rPr>
              <w:t>Industry Recognized and Valued</w:t>
            </w:r>
          </w:p>
        </w:tc>
      </w:tr>
      <w:tr w:rsidR="00F95473" w14:paraId="50440736" w14:textId="77777777" w:rsidTr="003354E3">
        <w:trPr>
          <w:trHeight w:val="1610"/>
        </w:trPr>
        <w:tc>
          <w:tcPr>
            <w:tcW w:w="1620" w:type="dxa"/>
          </w:tcPr>
          <w:p w14:paraId="22091275" w14:textId="77777777" w:rsidR="00F95473" w:rsidRDefault="00FB7C22">
            <w:pPr>
              <w:pStyle w:val="TableParagraph"/>
              <w:spacing w:line="268" w:lineRule="exact"/>
            </w:pPr>
            <w:r>
              <w:t>Criteria:</w:t>
            </w:r>
          </w:p>
        </w:tc>
        <w:tc>
          <w:tcPr>
            <w:tcW w:w="8550" w:type="dxa"/>
          </w:tcPr>
          <w:p w14:paraId="5115E6CC" w14:textId="77777777" w:rsidR="00F95473" w:rsidRDefault="00FB7C22">
            <w:pPr>
              <w:pStyle w:val="TableParagraph"/>
              <w:spacing w:line="259" w:lineRule="auto"/>
              <w:ind w:left="108" w:right="297"/>
            </w:pPr>
            <w:r>
              <w:t>Employers within an industry sector signal the value of the occupation-specific certification by: (a) including the certification in job postings as required or highly recommended; (b) using the certification as a factor in selecting candidates for an interview and/or hire; and/or (c) offering higher pay for those who possess the certification.</w:t>
            </w:r>
          </w:p>
        </w:tc>
      </w:tr>
      <w:tr w:rsidR="00F95473" w14:paraId="5561087A" w14:textId="77777777" w:rsidTr="003354E3">
        <w:trPr>
          <w:trHeight w:val="2637"/>
        </w:trPr>
        <w:tc>
          <w:tcPr>
            <w:tcW w:w="1620" w:type="dxa"/>
          </w:tcPr>
          <w:p w14:paraId="5CD57A0F" w14:textId="77777777" w:rsidR="00F95473" w:rsidRDefault="00FB7C22">
            <w:pPr>
              <w:pStyle w:val="TableParagraph"/>
              <w:spacing w:line="268" w:lineRule="exact"/>
            </w:pPr>
            <w:r>
              <w:t>Justification:</w:t>
            </w:r>
          </w:p>
        </w:tc>
        <w:tc>
          <w:tcPr>
            <w:tcW w:w="8550" w:type="dxa"/>
          </w:tcPr>
          <w:p w14:paraId="04B86A51" w14:textId="77777777" w:rsidR="00F95473" w:rsidRDefault="00FB7C22">
            <w:pPr>
              <w:pStyle w:val="TableParagraph"/>
              <w:spacing w:line="259" w:lineRule="auto"/>
              <w:ind w:left="108" w:right="390"/>
            </w:pPr>
            <w:r>
              <w:t>In determining the criteria for the list of IBCs in accountability, TEA utilized Texas Administrative Code Chapter 74. Subchapter B. 74.14.</w:t>
            </w:r>
          </w:p>
          <w:p w14:paraId="31D3693D" w14:textId="77777777" w:rsidR="00F95473" w:rsidRDefault="00FB7C22">
            <w:pPr>
              <w:pStyle w:val="TableParagraph"/>
              <w:spacing w:before="158" w:line="259" w:lineRule="auto"/>
              <w:ind w:right="174"/>
            </w:pPr>
            <w:r>
              <w:t>(e) A student may earn a performance acknowledgment on the student's transcript for earning a state-recognized or nationally or internationally recognized business or industry certification or license as follows.</w:t>
            </w:r>
          </w:p>
          <w:p w14:paraId="16790B66" w14:textId="77777777" w:rsidR="00F95473" w:rsidRDefault="00FB7C22">
            <w:pPr>
              <w:pStyle w:val="TableParagraph"/>
              <w:spacing w:before="159"/>
            </w:pPr>
            <w:r>
              <w:t>(2) Nationally or internationally recognized business or industry certification shall</w:t>
            </w:r>
          </w:p>
          <w:p w14:paraId="3CB71169" w14:textId="77777777" w:rsidR="00F95473" w:rsidRDefault="00FB7C22">
            <w:pPr>
              <w:pStyle w:val="TableParagraph"/>
              <w:spacing w:before="11" w:line="280" w:lineRule="atLeast"/>
              <w:ind w:right="187"/>
            </w:pPr>
            <w:r>
              <w:t>be defined as an industry-validated credential that complies with knowledge and skills standards promulgated by a nationally or internationally recognized business,</w:t>
            </w:r>
            <w:r w:rsidR="00DE456D">
              <w:t xml:space="preserve"> </w:t>
            </w:r>
            <w:r w:rsidR="00DE456D" w:rsidRPr="00DE456D">
              <w:t>industry, professional, or government entity representing a particular profession or occupation that is issued by or endorsed by:</w:t>
            </w:r>
          </w:p>
          <w:p w14:paraId="5623BC50" w14:textId="77777777" w:rsidR="00DE456D" w:rsidRDefault="00DE456D" w:rsidP="00DE456D">
            <w:pPr>
              <w:pStyle w:val="TableParagraph"/>
              <w:numPr>
                <w:ilvl w:val="0"/>
                <w:numId w:val="7"/>
              </w:numPr>
              <w:spacing w:before="11" w:line="280" w:lineRule="atLeast"/>
              <w:ind w:right="187"/>
            </w:pPr>
            <w:r>
              <w:t>a national or international business, industry, or professional organization;</w:t>
            </w:r>
          </w:p>
          <w:p w14:paraId="33FC3ABB" w14:textId="77777777" w:rsidR="00DE456D" w:rsidRDefault="00DE456D" w:rsidP="00DE456D">
            <w:pPr>
              <w:pStyle w:val="TableParagraph"/>
              <w:numPr>
                <w:ilvl w:val="0"/>
                <w:numId w:val="7"/>
              </w:numPr>
              <w:spacing w:before="11" w:line="280" w:lineRule="atLeast"/>
              <w:ind w:right="187"/>
            </w:pPr>
            <w:r>
              <w:t>a state agency or other government entity; or</w:t>
            </w:r>
          </w:p>
          <w:p w14:paraId="6E65E076" w14:textId="77777777" w:rsidR="00DE456D" w:rsidRDefault="00DE456D" w:rsidP="00DE456D">
            <w:pPr>
              <w:pStyle w:val="TableParagraph"/>
              <w:numPr>
                <w:ilvl w:val="0"/>
                <w:numId w:val="7"/>
              </w:numPr>
              <w:spacing w:before="11" w:line="280" w:lineRule="atLeast"/>
              <w:ind w:right="187"/>
            </w:pPr>
            <w:r>
              <w:t>a state-based industry association.</w:t>
            </w:r>
          </w:p>
        </w:tc>
      </w:tr>
      <w:tr w:rsidR="00DE456D" w14:paraId="64B96EFF" w14:textId="77777777" w:rsidTr="003354E3">
        <w:trPr>
          <w:trHeight w:val="298"/>
        </w:trPr>
        <w:tc>
          <w:tcPr>
            <w:tcW w:w="1620" w:type="dxa"/>
            <w:tcBorders>
              <w:bottom w:val="nil"/>
            </w:tcBorders>
          </w:tcPr>
          <w:p w14:paraId="068F02AC" w14:textId="77777777" w:rsidR="00DE456D" w:rsidRDefault="00DE456D" w:rsidP="00CC3940">
            <w:pPr>
              <w:pStyle w:val="TableParagraph"/>
              <w:spacing w:line="268" w:lineRule="exact"/>
            </w:pPr>
            <w:r>
              <w:t>Reference</w:t>
            </w:r>
          </w:p>
        </w:tc>
        <w:tc>
          <w:tcPr>
            <w:tcW w:w="8550" w:type="dxa"/>
            <w:tcBorders>
              <w:bottom w:val="nil"/>
            </w:tcBorders>
          </w:tcPr>
          <w:p w14:paraId="37662580" w14:textId="77777777" w:rsidR="00DE456D" w:rsidRDefault="00CA1743" w:rsidP="00CC3940">
            <w:pPr>
              <w:pStyle w:val="TableParagraph"/>
              <w:spacing w:line="268" w:lineRule="exact"/>
              <w:ind w:left="108"/>
            </w:pPr>
            <w:hyperlink r:id="rId7">
              <w:r w:rsidR="00DE456D">
                <w:rPr>
                  <w:color w:val="0563C1"/>
                  <w:u w:val="single" w:color="0563C1"/>
                </w:rPr>
                <w:t>https://gov.texas.gov/uploads/files/organization/twic/Industry-</w:t>
              </w:r>
            </w:hyperlink>
          </w:p>
        </w:tc>
      </w:tr>
      <w:tr w:rsidR="00DE456D" w14:paraId="042A5652" w14:textId="77777777" w:rsidTr="003354E3">
        <w:trPr>
          <w:trHeight w:val="290"/>
        </w:trPr>
        <w:tc>
          <w:tcPr>
            <w:tcW w:w="1620" w:type="dxa"/>
            <w:tcBorders>
              <w:top w:val="nil"/>
              <w:bottom w:val="nil"/>
            </w:tcBorders>
          </w:tcPr>
          <w:p w14:paraId="38E42220" w14:textId="77777777" w:rsidR="00DE456D" w:rsidRDefault="00DE456D" w:rsidP="00CC3940">
            <w:pPr>
              <w:pStyle w:val="TableParagraph"/>
              <w:spacing w:line="259" w:lineRule="exact"/>
            </w:pPr>
            <w:r>
              <w:t>[Research data,</w:t>
            </w:r>
          </w:p>
        </w:tc>
        <w:tc>
          <w:tcPr>
            <w:tcW w:w="8550" w:type="dxa"/>
            <w:tcBorders>
              <w:top w:val="nil"/>
              <w:bottom w:val="nil"/>
            </w:tcBorders>
          </w:tcPr>
          <w:p w14:paraId="22FDF846" w14:textId="77777777" w:rsidR="00DE456D" w:rsidRDefault="00CA1743" w:rsidP="00CC3940">
            <w:pPr>
              <w:pStyle w:val="TableParagraph"/>
              <w:spacing w:line="259" w:lineRule="exact"/>
              <w:ind w:left="108"/>
            </w:pPr>
            <w:hyperlink r:id="rId8">
              <w:r w:rsidR="00DE456D">
                <w:rPr>
                  <w:color w:val="0563C1"/>
                  <w:u w:val="single" w:color="0563C1"/>
                </w:rPr>
                <w:t>Based_Certifications.pdf</w:t>
              </w:r>
            </w:hyperlink>
          </w:p>
        </w:tc>
      </w:tr>
      <w:tr w:rsidR="00DE456D" w14:paraId="3989FC6D" w14:textId="77777777" w:rsidTr="003354E3">
        <w:trPr>
          <w:trHeight w:val="290"/>
        </w:trPr>
        <w:tc>
          <w:tcPr>
            <w:tcW w:w="1620" w:type="dxa"/>
            <w:tcBorders>
              <w:top w:val="nil"/>
              <w:bottom w:val="nil"/>
            </w:tcBorders>
          </w:tcPr>
          <w:p w14:paraId="673E46CD" w14:textId="77777777" w:rsidR="00DE456D" w:rsidRDefault="00DE456D" w:rsidP="00CC3940">
            <w:pPr>
              <w:pStyle w:val="TableParagraph"/>
              <w:spacing w:line="259" w:lineRule="exact"/>
            </w:pPr>
            <w:r>
              <w:t>comparison</w:t>
            </w:r>
          </w:p>
        </w:tc>
        <w:tc>
          <w:tcPr>
            <w:tcW w:w="8550" w:type="dxa"/>
            <w:tcBorders>
              <w:top w:val="nil"/>
              <w:bottom w:val="nil"/>
            </w:tcBorders>
          </w:tcPr>
          <w:p w14:paraId="5B2F1D75" w14:textId="77777777" w:rsidR="00DE456D" w:rsidRDefault="00DE456D" w:rsidP="00CC3940">
            <w:pPr>
              <w:pStyle w:val="TableParagraph"/>
              <w:ind w:left="0"/>
              <w:rPr>
                <w:rFonts w:ascii="Times New Roman"/>
                <w:sz w:val="20"/>
              </w:rPr>
            </w:pPr>
          </w:p>
        </w:tc>
      </w:tr>
      <w:tr w:rsidR="00DE456D" w14:paraId="3F3B02A0" w14:textId="77777777" w:rsidTr="003354E3">
        <w:trPr>
          <w:trHeight w:val="440"/>
        </w:trPr>
        <w:tc>
          <w:tcPr>
            <w:tcW w:w="1620" w:type="dxa"/>
            <w:tcBorders>
              <w:top w:val="nil"/>
            </w:tcBorders>
          </w:tcPr>
          <w:p w14:paraId="7DA5C327" w14:textId="77777777" w:rsidR="00DE456D" w:rsidRDefault="00DE456D" w:rsidP="00CC3940">
            <w:pPr>
              <w:pStyle w:val="TableParagraph"/>
              <w:spacing w:line="259" w:lineRule="exact"/>
            </w:pPr>
            <w:r>
              <w:t>states]</w:t>
            </w:r>
          </w:p>
        </w:tc>
        <w:tc>
          <w:tcPr>
            <w:tcW w:w="8550" w:type="dxa"/>
            <w:tcBorders>
              <w:top w:val="nil"/>
            </w:tcBorders>
          </w:tcPr>
          <w:p w14:paraId="5B3C9C0A" w14:textId="77777777" w:rsidR="00DE456D" w:rsidRDefault="00DE456D" w:rsidP="00CC3940">
            <w:pPr>
              <w:pStyle w:val="TableParagraph"/>
              <w:ind w:left="0"/>
              <w:rPr>
                <w:rFonts w:ascii="Times New Roman"/>
              </w:rPr>
            </w:pPr>
          </w:p>
        </w:tc>
      </w:tr>
    </w:tbl>
    <w:p w14:paraId="55E0898B" w14:textId="77777777" w:rsidR="00F95473" w:rsidRDefault="00F95473">
      <w:pPr>
        <w:spacing w:line="280" w:lineRule="atLeast"/>
        <w:sectPr w:rsidR="00F95473">
          <w:headerReference w:type="default" r:id="rId9"/>
          <w:footerReference w:type="default" r:id="rId10"/>
          <w:type w:val="continuous"/>
          <w:pgSz w:w="12240" w:h="15840"/>
          <w:pgMar w:top="1560" w:right="1040" w:bottom="940" w:left="960" w:header="1025" w:footer="746" w:gutter="0"/>
          <w:pgNumType w:start="1"/>
          <w:cols w:space="720"/>
        </w:sectPr>
      </w:pPr>
    </w:p>
    <w:p w14:paraId="22097609" w14:textId="77777777" w:rsidR="00F95473" w:rsidRDefault="00745532" w:rsidP="00B92837">
      <w:pPr>
        <w:spacing w:before="210"/>
        <w:rPr>
          <w:rFonts w:ascii="Calibri Light"/>
          <w:sz w:val="26"/>
        </w:rPr>
      </w:pPr>
      <w:bookmarkStart w:id="2" w:name="Attainable_by_High_School_Students"/>
      <w:bookmarkEnd w:id="2"/>
      <w:r>
        <w:rPr>
          <w:rFonts w:ascii="Calibri Light"/>
          <w:color w:val="1F3864"/>
          <w:sz w:val="26"/>
        </w:rPr>
        <w:lastRenderedPageBreak/>
        <w:t>A</w:t>
      </w:r>
      <w:r w:rsidR="00FB7C22">
        <w:rPr>
          <w:rFonts w:ascii="Calibri Light"/>
          <w:color w:val="1F3864"/>
          <w:sz w:val="26"/>
        </w:rPr>
        <w:t>ttainable by High School Students</w:t>
      </w:r>
    </w:p>
    <w:p w14:paraId="6001F742" w14:textId="77777777" w:rsidR="00F95473" w:rsidRDefault="00F95473">
      <w:pPr>
        <w:pStyle w:val="BodyText"/>
        <w:rPr>
          <w:rFonts w:ascii="Calibri Light"/>
          <w:sz w:val="20"/>
        </w:rPr>
      </w:pPr>
    </w:p>
    <w:tbl>
      <w:tblPr>
        <w:tblpPr w:leftFromText="180" w:rightFromText="180" w:vertAnchor="text" w:horzAnchor="margin" w:tblpXSpec="center"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5"/>
        <w:gridCol w:w="8460"/>
      </w:tblGrid>
      <w:tr w:rsidR="003354E3" w14:paraId="4BD15B31" w14:textId="77777777" w:rsidTr="00B92837">
        <w:trPr>
          <w:trHeight w:val="268"/>
        </w:trPr>
        <w:tc>
          <w:tcPr>
            <w:tcW w:w="1715" w:type="dxa"/>
            <w:shd w:val="clear" w:color="auto" w:fill="DADADA"/>
          </w:tcPr>
          <w:p w14:paraId="46777D76" w14:textId="77777777" w:rsidR="003354E3" w:rsidRDefault="003354E3" w:rsidP="003354E3">
            <w:pPr>
              <w:pStyle w:val="TableParagraph"/>
              <w:spacing w:line="248" w:lineRule="exact"/>
              <w:rPr>
                <w:b/>
              </w:rPr>
            </w:pPr>
            <w:r>
              <w:rPr>
                <w:b/>
              </w:rPr>
              <w:t>Element</w:t>
            </w:r>
          </w:p>
        </w:tc>
        <w:tc>
          <w:tcPr>
            <w:tcW w:w="8460" w:type="dxa"/>
            <w:shd w:val="clear" w:color="auto" w:fill="DADADA"/>
          </w:tcPr>
          <w:p w14:paraId="7114F394" w14:textId="77777777" w:rsidR="003354E3" w:rsidRDefault="003354E3" w:rsidP="003354E3">
            <w:pPr>
              <w:pStyle w:val="TableParagraph"/>
              <w:spacing w:line="248" w:lineRule="exact"/>
              <w:ind w:left="108"/>
              <w:rPr>
                <w:b/>
              </w:rPr>
            </w:pPr>
            <w:r>
              <w:rPr>
                <w:b/>
              </w:rPr>
              <w:t>Attainable by High School Students</w:t>
            </w:r>
          </w:p>
        </w:tc>
      </w:tr>
      <w:tr w:rsidR="003354E3" w14:paraId="7CC8E894" w14:textId="77777777" w:rsidTr="00B92837">
        <w:trPr>
          <w:trHeight w:val="738"/>
        </w:trPr>
        <w:tc>
          <w:tcPr>
            <w:tcW w:w="1715" w:type="dxa"/>
          </w:tcPr>
          <w:p w14:paraId="39A44C54" w14:textId="77777777" w:rsidR="003354E3" w:rsidRDefault="003354E3" w:rsidP="003354E3">
            <w:pPr>
              <w:pStyle w:val="TableParagraph"/>
              <w:spacing w:line="268" w:lineRule="exact"/>
            </w:pPr>
            <w:r>
              <w:t>Criteria:</w:t>
            </w:r>
          </w:p>
        </w:tc>
        <w:tc>
          <w:tcPr>
            <w:tcW w:w="8460" w:type="dxa"/>
          </w:tcPr>
          <w:p w14:paraId="6F111113" w14:textId="77777777" w:rsidR="003354E3" w:rsidRDefault="003354E3" w:rsidP="003354E3">
            <w:pPr>
              <w:pStyle w:val="TableParagraph"/>
              <w:spacing w:line="259" w:lineRule="auto"/>
              <w:ind w:left="108" w:right="103"/>
            </w:pPr>
            <w:r>
              <w:t>All eligibility requirements (e.g., age and experience) are met and the certification is awarded before or within the summer after a student’s high school graduation.</w:t>
            </w:r>
          </w:p>
        </w:tc>
      </w:tr>
      <w:tr w:rsidR="003354E3" w14:paraId="418BCE3F" w14:textId="77777777" w:rsidTr="00B92837">
        <w:trPr>
          <w:trHeight w:val="2380"/>
        </w:trPr>
        <w:tc>
          <w:tcPr>
            <w:tcW w:w="1715" w:type="dxa"/>
          </w:tcPr>
          <w:p w14:paraId="428F7E83" w14:textId="77777777" w:rsidR="003354E3" w:rsidRDefault="003354E3" w:rsidP="003354E3">
            <w:pPr>
              <w:pStyle w:val="TableParagraph"/>
              <w:spacing w:before="1"/>
            </w:pPr>
            <w:r>
              <w:t>Justification:</w:t>
            </w:r>
          </w:p>
        </w:tc>
        <w:tc>
          <w:tcPr>
            <w:tcW w:w="8460" w:type="dxa"/>
          </w:tcPr>
          <w:p w14:paraId="15F52E1A" w14:textId="77777777" w:rsidR="003354E3" w:rsidRDefault="003354E3" w:rsidP="003354E3">
            <w:pPr>
              <w:pStyle w:val="TableParagraph"/>
              <w:spacing w:before="1"/>
              <w:ind w:left="108"/>
            </w:pPr>
            <w:r>
              <w:t>Texas Administrative Code Chapter 74. Subchapter B. 74.14</w:t>
            </w:r>
          </w:p>
          <w:p w14:paraId="79F64BFF" w14:textId="77777777" w:rsidR="003354E3" w:rsidRDefault="003354E3" w:rsidP="003354E3">
            <w:pPr>
              <w:pStyle w:val="TableParagraph"/>
              <w:spacing w:before="180" w:line="259" w:lineRule="auto"/>
              <w:ind w:right="174"/>
            </w:pPr>
            <w:r>
              <w:t>(e) A student may earn a performance acknowledgment on the student's transcript for earning a state-recognized or nationally or internationally recognized business or industry certification or license as follows.</w:t>
            </w:r>
          </w:p>
          <w:p w14:paraId="78CE6A72" w14:textId="77777777" w:rsidR="003354E3" w:rsidRDefault="003354E3" w:rsidP="003354E3">
            <w:pPr>
              <w:pStyle w:val="TableParagraph"/>
              <w:numPr>
                <w:ilvl w:val="0"/>
                <w:numId w:val="3"/>
              </w:numPr>
              <w:tabs>
                <w:tab w:val="left" w:pos="406"/>
              </w:tabs>
              <w:spacing w:before="160"/>
              <w:ind w:hanging="297"/>
            </w:pPr>
            <w:r>
              <w:t>Certifications or licensures for performance acknowledgements</w:t>
            </w:r>
            <w:r>
              <w:rPr>
                <w:spacing w:val="-9"/>
              </w:rPr>
              <w:t xml:space="preserve"> </w:t>
            </w:r>
            <w:r>
              <w:t>shall:</w:t>
            </w:r>
          </w:p>
          <w:p w14:paraId="21D69E83" w14:textId="77777777" w:rsidR="003354E3" w:rsidRDefault="003354E3" w:rsidP="003354E3">
            <w:pPr>
              <w:pStyle w:val="TableParagraph"/>
              <w:numPr>
                <w:ilvl w:val="1"/>
                <w:numId w:val="3"/>
              </w:numPr>
              <w:tabs>
                <w:tab w:val="left" w:pos="420"/>
              </w:tabs>
              <w:spacing w:before="180"/>
              <w:ind w:hanging="311"/>
            </w:pPr>
            <w:r>
              <w:t>be age appropriate for high school</w:t>
            </w:r>
            <w:r>
              <w:rPr>
                <w:spacing w:val="-7"/>
              </w:rPr>
              <w:t xml:space="preserve"> </w:t>
            </w:r>
            <w:r>
              <w:t>students;</w:t>
            </w:r>
          </w:p>
        </w:tc>
      </w:tr>
      <w:tr w:rsidR="003354E3" w14:paraId="0F605ED8" w14:textId="77777777" w:rsidTr="00B92837">
        <w:trPr>
          <w:trHeight w:val="1029"/>
        </w:trPr>
        <w:tc>
          <w:tcPr>
            <w:tcW w:w="1715" w:type="dxa"/>
          </w:tcPr>
          <w:p w14:paraId="2B742BBE" w14:textId="77777777" w:rsidR="003354E3" w:rsidRDefault="003354E3" w:rsidP="003354E3">
            <w:pPr>
              <w:pStyle w:val="TableParagraph"/>
              <w:spacing w:line="268" w:lineRule="exact"/>
            </w:pPr>
            <w:r>
              <w:t>Reference:</w:t>
            </w:r>
          </w:p>
        </w:tc>
        <w:tc>
          <w:tcPr>
            <w:tcW w:w="8460" w:type="dxa"/>
          </w:tcPr>
          <w:p w14:paraId="22BEDE3C" w14:textId="77777777" w:rsidR="003354E3" w:rsidRDefault="003354E3" w:rsidP="003354E3">
            <w:pPr>
              <w:pStyle w:val="TableParagraph"/>
              <w:spacing w:line="259" w:lineRule="auto"/>
              <w:ind w:left="108" w:right="478"/>
              <w:rPr>
                <w:b/>
              </w:rPr>
            </w:pPr>
            <w:r>
              <w:t xml:space="preserve">Advance Career and Technical Education (CTE) Case Study: Credentials of Value: State Strategies for Identifying and Endorsing Industry-Recognized Credentials </w:t>
            </w:r>
            <w:hyperlink r:id="rId11">
              <w:r>
                <w:rPr>
                  <w:b/>
                  <w:color w:val="0563C1"/>
                  <w:u w:val="single" w:color="0563C1"/>
                </w:rPr>
                <w:t>https://careertech.org/resource/credentials-of-value</w:t>
              </w:r>
            </w:hyperlink>
          </w:p>
        </w:tc>
      </w:tr>
    </w:tbl>
    <w:p w14:paraId="7F233D09" w14:textId="77777777" w:rsidR="00F95473" w:rsidRDefault="00F95473">
      <w:pPr>
        <w:pStyle w:val="BodyText"/>
        <w:spacing w:before="8"/>
        <w:rPr>
          <w:rFonts w:ascii="Calibri Light"/>
          <w:sz w:val="18"/>
        </w:rPr>
      </w:pPr>
    </w:p>
    <w:p w14:paraId="05E987CC" w14:textId="77777777" w:rsidR="00B92837" w:rsidRDefault="00B92837" w:rsidP="00B92837">
      <w:pPr>
        <w:spacing w:before="79"/>
        <w:rPr>
          <w:rFonts w:ascii="Calibri Light"/>
          <w:color w:val="1F3864"/>
          <w:sz w:val="26"/>
        </w:rPr>
      </w:pPr>
      <w:bookmarkStart w:id="3" w:name="Third-Party_Provider"/>
      <w:bookmarkStart w:id="4" w:name="_Hlk57026484"/>
      <w:bookmarkEnd w:id="3"/>
      <w:r>
        <w:rPr>
          <w:rFonts w:ascii="Calibri Light"/>
          <w:color w:val="1F3864"/>
          <w:sz w:val="26"/>
        </w:rPr>
        <w:t>Third-Party Provider</w:t>
      </w:r>
    </w:p>
    <w:bookmarkEnd w:id="4"/>
    <w:p w14:paraId="6B0B4498" w14:textId="77777777" w:rsidR="00B92837" w:rsidRDefault="00B92837">
      <w:pPr>
        <w:pStyle w:val="BodyText"/>
        <w:spacing w:before="8" w:after="1"/>
        <w:rPr>
          <w:rFonts w:ascii="Calibri Light"/>
          <w:sz w:val="18"/>
        </w:rPr>
      </w:pPr>
    </w:p>
    <w:p w14:paraId="2A5370DC" w14:textId="77777777" w:rsidR="00B92837" w:rsidRDefault="00B92837">
      <w:pPr>
        <w:pStyle w:val="BodyText"/>
        <w:spacing w:before="8" w:after="1"/>
        <w:rPr>
          <w:rFonts w:ascii="Calibri Light"/>
          <w:sz w:val="18"/>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8460"/>
      </w:tblGrid>
      <w:tr w:rsidR="00F95473" w14:paraId="37C3ABE7" w14:textId="77777777" w:rsidTr="00B92837">
        <w:trPr>
          <w:trHeight w:val="268"/>
        </w:trPr>
        <w:tc>
          <w:tcPr>
            <w:tcW w:w="1800" w:type="dxa"/>
            <w:shd w:val="clear" w:color="auto" w:fill="DADADA"/>
          </w:tcPr>
          <w:p w14:paraId="5E1D624A" w14:textId="77777777" w:rsidR="00F95473" w:rsidRDefault="00FB7C22">
            <w:pPr>
              <w:pStyle w:val="TableParagraph"/>
              <w:spacing w:line="248" w:lineRule="exact"/>
              <w:rPr>
                <w:b/>
              </w:rPr>
            </w:pPr>
            <w:r>
              <w:rPr>
                <w:b/>
              </w:rPr>
              <w:t>Element</w:t>
            </w:r>
          </w:p>
        </w:tc>
        <w:tc>
          <w:tcPr>
            <w:tcW w:w="8460" w:type="dxa"/>
            <w:shd w:val="clear" w:color="auto" w:fill="DADADA"/>
          </w:tcPr>
          <w:p w14:paraId="28509DD5" w14:textId="77777777" w:rsidR="00F95473" w:rsidRDefault="00FB7C22">
            <w:pPr>
              <w:pStyle w:val="TableParagraph"/>
              <w:spacing w:line="248" w:lineRule="exact"/>
              <w:ind w:left="108"/>
              <w:rPr>
                <w:b/>
              </w:rPr>
            </w:pPr>
            <w:r>
              <w:rPr>
                <w:b/>
              </w:rPr>
              <w:t>Third-Party Provider</w:t>
            </w:r>
          </w:p>
        </w:tc>
      </w:tr>
      <w:tr w:rsidR="00F95473" w14:paraId="17BC85D4" w14:textId="77777777" w:rsidTr="00B92837">
        <w:trPr>
          <w:trHeight w:val="1029"/>
        </w:trPr>
        <w:tc>
          <w:tcPr>
            <w:tcW w:w="1800" w:type="dxa"/>
          </w:tcPr>
          <w:p w14:paraId="68A6873F" w14:textId="77777777" w:rsidR="00F95473" w:rsidRDefault="00FB7C22">
            <w:pPr>
              <w:pStyle w:val="TableParagraph"/>
              <w:spacing w:line="268" w:lineRule="exact"/>
            </w:pPr>
            <w:r>
              <w:t>Criteria:</w:t>
            </w:r>
          </w:p>
        </w:tc>
        <w:tc>
          <w:tcPr>
            <w:tcW w:w="8460" w:type="dxa"/>
          </w:tcPr>
          <w:p w14:paraId="579F5CEB" w14:textId="77777777" w:rsidR="00F95473" w:rsidRDefault="00FB7C22">
            <w:pPr>
              <w:pStyle w:val="TableParagraph"/>
              <w:spacing w:line="259" w:lineRule="auto"/>
              <w:ind w:right="410"/>
              <w:jc w:val="both"/>
            </w:pPr>
            <w:r>
              <w:t>The assessment of the certification is provided by/signed off by an independent, third-party certifying entity using predetermined standards for knowledge, skills, and competencies.</w:t>
            </w:r>
          </w:p>
        </w:tc>
      </w:tr>
      <w:tr w:rsidR="00F95473" w14:paraId="23980138" w14:textId="77777777" w:rsidTr="00E83854">
        <w:trPr>
          <w:trHeight w:val="2957"/>
        </w:trPr>
        <w:tc>
          <w:tcPr>
            <w:tcW w:w="1800" w:type="dxa"/>
          </w:tcPr>
          <w:p w14:paraId="3666E36B" w14:textId="77777777" w:rsidR="00F95473" w:rsidRDefault="00FB7C22">
            <w:pPr>
              <w:pStyle w:val="TableParagraph"/>
              <w:spacing w:line="268" w:lineRule="exact"/>
            </w:pPr>
            <w:r>
              <w:t>Justification:</w:t>
            </w:r>
          </w:p>
        </w:tc>
        <w:tc>
          <w:tcPr>
            <w:tcW w:w="8460" w:type="dxa"/>
          </w:tcPr>
          <w:p w14:paraId="242F4BB3" w14:textId="77777777" w:rsidR="00F95473" w:rsidRDefault="00FB7C22">
            <w:pPr>
              <w:pStyle w:val="TableParagraph"/>
              <w:spacing w:line="259" w:lineRule="auto"/>
              <w:ind w:right="147"/>
            </w:pPr>
            <w:r>
              <w:t>Validation by an impartial third party helps to authenticate certifications. This affords individuals who obtain a certification award job or career portability, because the value and features of a certification are not bound to any particular region of the country or company defined measure of proficiency. Certification completers are able to transfer acquired knowledge across state lines and businesses more easily because third-party validation addresses specific standards and requirements within industries. By addressing definite proficiencies, employers have an easier time identifying value and qualified workers.</w:t>
            </w:r>
          </w:p>
          <w:p w14:paraId="4577E4F9" w14:textId="77777777" w:rsidR="00F95473" w:rsidRDefault="00CA1743">
            <w:pPr>
              <w:pStyle w:val="TableParagraph"/>
              <w:spacing w:before="158" w:line="259" w:lineRule="auto"/>
              <w:ind w:left="108" w:right="1895"/>
            </w:pPr>
            <w:hyperlink r:id="rId12">
              <w:r w:rsidR="00FB7C22">
                <w:rPr>
                  <w:color w:val="0563C1"/>
                  <w:u w:val="single" w:color="0563C1"/>
                </w:rPr>
                <w:t>https://gov.texas.gov/uploads/files/organization/twic/Industry-</w:t>
              </w:r>
            </w:hyperlink>
            <w:r w:rsidR="00FB7C22">
              <w:rPr>
                <w:color w:val="0563C1"/>
              </w:rPr>
              <w:t xml:space="preserve"> </w:t>
            </w:r>
            <w:hyperlink r:id="rId13">
              <w:r w:rsidR="00FB7C22">
                <w:rPr>
                  <w:color w:val="0563C1"/>
                  <w:u w:val="single" w:color="0563C1"/>
                </w:rPr>
                <w:t>Based_Certifications.pdf</w:t>
              </w:r>
            </w:hyperlink>
          </w:p>
        </w:tc>
      </w:tr>
      <w:tr w:rsidR="003354E3" w14:paraId="7014CAFD" w14:textId="77777777" w:rsidTr="00B92837">
        <w:trPr>
          <w:trHeight w:val="788"/>
        </w:trPr>
        <w:tc>
          <w:tcPr>
            <w:tcW w:w="1800" w:type="dxa"/>
          </w:tcPr>
          <w:p w14:paraId="1973963D" w14:textId="77777777" w:rsidR="003354E3" w:rsidRDefault="003354E3">
            <w:pPr>
              <w:pStyle w:val="TableParagraph"/>
              <w:spacing w:line="268" w:lineRule="exact"/>
            </w:pPr>
            <w:r>
              <w:t>Reference:</w:t>
            </w:r>
          </w:p>
        </w:tc>
        <w:tc>
          <w:tcPr>
            <w:tcW w:w="8460" w:type="dxa"/>
          </w:tcPr>
          <w:p w14:paraId="02577449" w14:textId="77777777" w:rsidR="003354E3" w:rsidRDefault="003354E3">
            <w:pPr>
              <w:pStyle w:val="TableParagraph"/>
              <w:spacing w:line="259" w:lineRule="auto"/>
              <w:ind w:right="147"/>
            </w:pPr>
            <w:r>
              <w:t>Barnhart, Phillip A. (28 January 1997). The Guide to National Professional Certification Programs. Second Edition. CRC Press.</w:t>
            </w:r>
          </w:p>
        </w:tc>
      </w:tr>
    </w:tbl>
    <w:p w14:paraId="68BC4E23" w14:textId="77777777" w:rsidR="00F95473" w:rsidRDefault="00F95473">
      <w:pPr>
        <w:spacing w:line="259" w:lineRule="auto"/>
        <w:sectPr w:rsidR="00F95473">
          <w:pgSz w:w="12240" w:h="15840"/>
          <w:pgMar w:top="1560" w:right="1040" w:bottom="940" w:left="960" w:header="1025" w:footer="746" w:gutter="0"/>
          <w:cols w:space="720"/>
        </w:sectPr>
      </w:pPr>
    </w:p>
    <w:p w14:paraId="1B0E79CC" w14:textId="77777777" w:rsidR="00F95473" w:rsidRDefault="00FB7C22">
      <w:pPr>
        <w:spacing w:before="210"/>
        <w:ind w:left="120"/>
        <w:rPr>
          <w:rFonts w:ascii="Calibri Light"/>
          <w:sz w:val="26"/>
        </w:rPr>
      </w:pPr>
      <w:bookmarkStart w:id="5" w:name="Capstone"/>
      <w:bookmarkEnd w:id="5"/>
      <w:r>
        <w:rPr>
          <w:rFonts w:ascii="Calibri Light"/>
          <w:color w:val="1F3864"/>
          <w:sz w:val="26"/>
        </w:rPr>
        <w:lastRenderedPageBreak/>
        <w:t>Capstone</w:t>
      </w:r>
    </w:p>
    <w:p w14:paraId="15633BDD" w14:textId="77777777" w:rsidR="00F95473" w:rsidRDefault="00F95473">
      <w:pPr>
        <w:pStyle w:val="BodyText"/>
        <w:spacing w:before="8"/>
        <w:rPr>
          <w:rFonts w:ascii="Calibri Light"/>
          <w:sz w:val="18"/>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8"/>
        <w:gridCol w:w="8072"/>
      </w:tblGrid>
      <w:tr w:rsidR="00F95473" w14:paraId="5095E3FA" w14:textId="77777777" w:rsidTr="00745532">
        <w:trPr>
          <w:trHeight w:val="242"/>
        </w:trPr>
        <w:tc>
          <w:tcPr>
            <w:tcW w:w="2188" w:type="dxa"/>
            <w:shd w:val="clear" w:color="auto" w:fill="DADADA"/>
          </w:tcPr>
          <w:p w14:paraId="1AFC3BF8" w14:textId="77777777" w:rsidR="00F95473" w:rsidRDefault="00FB7C22">
            <w:pPr>
              <w:pStyle w:val="TableParagraph"/>
              <w:spacing w:line="222" w:lineRule="exact"/>
              <w:rPr>
                <w:b/>
              </w:rPr>
            </w:pPr>
            <w:r>
              <w:rPr>
                <w:b/>
              </w:rPr>
              <w:t>Element</w:t>
            </w:r>
          </w:p>
        </w:tc>
        <w:tc>
          <w:tcPr>
            <w:tcW w:w="8072" w:type="dxa"/>
            <w:shd w:val="clear" w:color="auto" w:fill="DADADA"/>
          </w:tcPr>
          <w:p w14:paraId="599552CA" w14:textId="77777777" w:rsidR="00F95473" w:rsidRDefault="00FB7C22">
            <w:pPr>
              <w:pStyle w:val="TableParagraph"/>
              <w:spacing w:line="222" w:lineRule="exact"/>
              <w:ind w:left="105"/>
              <w:rPr>
                <w:b/>
              </w:rPr>
            </w:pPr>
            <w:r>
              <w:rPr>
                <w:b/>
              </w:rPr>
              <w:t>Capstone</w:t>
            </w:r>
          </w:p>
        </w:tc>
      </w:tr>
      <w:tr w:rsidR="00F95473" w14:paraId="0732C168" w14:textId="77777777" w:rsidTr="00745532">
        <w:trPr>
          <w:trHeight w:val="724"/>
        </w:trPr>
        <w:tc>
          <w:tcPr>
            <w:tcW w:w="2188" w:type="dxa"/>
          </w:tcPr>
          <w:p w14:paraId="2157CA6F" w14:textId="77777777" w:rsidR="00F95473" w:rsidRDefault="00FB7C22">
            <w:pPr>
              <w:pStyle w:val="TableParagraph"/>
              <w:spacing w:line="246" w:lineRule="exact"/>
            </w:pPr>
            <w:r>
              <w:t>Criteria:</w:t>
            </w:r>
          </w:p>
        </w:tc>
        <w:tc>
          <w:tcPr>
            <w:tcW w:w="8072" w:type="dxa"/>
          </w:tcPr>
          <w:p w14:paraId="3FFDCB48" w14:textId="77777777" w:rsidR="00F95473" w:rsidRDefault="00FB7C22">
            <w:pPr>
              <w:pStyle w:val="TableParagraph"/>
              <w:spacing w:line="216" w:lineRule="auto"/>
              <w:ind w:left="105" w:right="434"/>
            </w:pPr>
            <w:r>
              <w:t>Certification is offered at the conclusion of an aligned course, and/or at the conclusion of a program of study in a secondary career and technical education</w:t>
            </w:r>
          </w:p>
          <w:p w14:paraId="066C6386" w14:textId="77777777" w:rsidR="00F95473" w:rsidRDefault="00FB7C22">
            <w:pPr>
              <w:pStyle w:val="TableParagraph"/>
              <w:spacing w:line="223" w:lineRule="exact"/>
              <w:ind w:left="105"/>
            </w:pPr>
            <w:r>
              <w:t>program.</w:t>
            </w:r>
          </w:p>
        </w:tc>
      </w:tr>
      <w:tr w:rsidR="00F95473" w14:paraId="375197BB" w14:textId="77777777" w:rsidTr="00745532">
        <w:trPr>
          <w:trHeight w:val="1569"/>
        </w:trPr>
        <w:tc>
          <w:tcPr>
            <w:tcW w:w="2188" w:type="dxa"/>
          </w:tcPr>
          <w:p w14:paraId="41326F53" w14:textId="77777777" w:rsidR="00F95473" w:rsidRDefault="00FB7C22">
            <w:pPr>
              <w:pStyle w:val="TableParagraph"/>
              <w:spacing w:line="248" w:lineRule="exact"/>
            </w:pPr>
            <w:r>
              <w:t>Justification:</w:t>
            </w:r>
          </w:p>
        </w:tc>
        <w:tc>
          <w:tcPr>
            <w:tcW w:w="8072" w:type="dxa"/>
          </w:tcPr>
          <w:p w14:paraId="46E59400" w14:textId="77777777" w:rsidR="00F95473" w:rsidRDefault="00FB7C22">
            <w:pPr>
              <w:pStyle w:val="TableParagraph"/>
              <w:spacing w:before="3" w:line="213" w:lineRule="auto"/>
              <w:ind w:left="105" w:right="306"/>
            </w:pPr>
            <w:r>
              <w:t>In determining the criteria for the list of IBCs in accountability, TEA utilized Texas Administrative Code Chapter 74. Subchapter B. 74.14.</w:t>
            </w:r>
          </w:p>
          <w:p w14:paraId="706B9D76" w14:textId="77777777" w:rsidR="00F95473" w:rsidRDefault="00FB7C22">
            <w:pPr>
              <w:pStyle w:val="TableParagraph"/>
              <w:ind w:left="105"/>
            </w:pPr>
            <w:r>
              <w:t>(3) Certifications or licensures for performance acknowledgements shall:</w:t>
            </w:r>
          </w:p>
          <w:p w14:paraId="6B84B36C" w14:textId="77777777" w:rsidR="00F95473" w:rsidRDefault="00F95473">
            <w:pPr>
              <w:pStyle w:val="TableParagraph"/>
              <w:spacing w:before="11"/>
              <w:ind w:left="0"/>
              <w:rPr>
                <w:rFonts w:ascii="Calibri Light"/>
              </w:rPr>
            </w:pPr>
          </w:p>
          <w:p w14:paraId="5CE4244D" w14:textId="77777777" w:rsidR="00F95473" w:rsidRDefault="00FB7C22">
            <w:pPr>
              <w:pStyle w:val="TableParagraph"/>
              <w:spacing w:line="270" w:lineRule="atLeast"/>
              <w:ind w:left="105" w:right="719"/>
            </w:pPr>
            <w:r>
              <w:t>(B) represent a student's substantial course of study and/or end-of-program knowledge and skills;</w:t>
            </w:r>
          </w:p>
        </w:tc>
      </w:tr>
      <w:tr w:rsidR="00F95473" w14:paraId="7AB232B3" w14:textId="77777777" w:rsidTr="00745532">
        <w:trPr>
          <w:trHeight w:val="1886"/>
        </w:trPr>
        <w:tc>
          <w:tcPr>
            <w:tcW w:w="2188" w:type="dxa"/>
          </w:tcPr>
          <w:p w14:paraId="5036C124" w14:textId="77777777" w:rsidR="00F95473" w:rsidRDefault="00FB7C22">
            <w:pPr>
              <w:pStyle w:val="TableParagraph"/>
              <w:spacing w:line="248" w:lineRule="exact"/>
            </w:pPr>
            <w:r>
              <w:t>Reference:</w:t>
            </w:r>
          </w:p>
        </w:tc>
        <w:tc>
          <w:tcPr>
            <w:tcW w:w="8072" w:type="dxa"/>
          </w:tcPr>
          <w:p w14:paraId="5F9C649B" w14:textId="77777777" w:rsidR="00F95473" w:rsidRDefault="00FB7C22">
            <w:pPr>
              <w:pStyle w:val="TableParagraph"/>
              <w:spacing w:before="1" w:line="216" w:lineRule="auto"/>
              <w:ind w:left="105" w:right="82"/>
            </w:pPr>
            <w:r>
              <w:t xml:space="preserve">Instructional Materials Allotment: To be eligible for adoption, instructional materials must meet at least 50% of the TEKS and 100% of the required ELPS in the components intended for student use and the components intended for teacher use, be free from factual error, meet manufacturing specifications, be suitable for the intended course and grade level, and be reviewed by academic experts. </w:t>
            </w:r>
            <w:hyperlink r:id="rId14">
              <w:r>
                <w:rPr>
                  <w:color w:val="0563C1"/>
                  <w:u w:val="single" w:color="0563C1"/>
                </w:rPr>
                <w:t>https://tea.texas.gov/Academics/Instructional_Materials/Review_and_Adoption_P</w:t>
              </w:r>
            </w:hyperlink>
          </w:p>
          <w:p w14:paraId="0DCC890B" w14:textId="77777777" w:rsidR="00F95473" w:rsidRDefault="00CA1743">
            <w:pPr>
              <w:pStyle w:val="TableParagraph"/>
              <w:spacing w:line="221" w:lineRule="exact"/>
              <w:ind w:left="105"/>
            </w:pPr>
            <w:hyperlink r:id="rId15">
              <w:r w:rsidR="00FB7C22">
                <w:rPr>
                  <w:color w:val="0563C1"/>
                  <w:u w:val="single" w:color="0563C1"/>
                </w:rPr>
                <w:t>rocess/The_Review_and_Adoption_Process/</w:t>
              </w:r>
            </w:hyperlink>
          </w:p>
        </w:tc>
      </w:tr>
    </w:tbl>
    <w:p w14:paraId="214FF6B7" w14:textId="77777777" w:rsidR="00590BFB" w:rsidRDefault="00590BFB" w:rsidP="00B92837">
      <w:bookmarkStart w:id="6" w:name="Portable"/>
      <w:bookmarkEnd w:id="6"/>
    </w:p>
    <w:p w14:paraId="13B87D5C" w14:textId="77777777" w:rsidR="00745532" w:rsidRDefault="00745532" w:rsidP="00745532">
      <w:pPr>
        <w:spacing w:before="79"/>
        <w:rPr>
          <w:rFonts w:ascii="Calibri Light"/>
          <w:color w:val="1F3864"/>
          <w:sz w:val="26"/>
        </w:rPr>
      </w:pPr>
      <w:r>
        <w:rPr>
          <w:rFonts w:ascii="Calibri Light"/>
          <w:color w:val="1F3864"/>
          <w:sz w:val="26"/>
        </w:rPr>
        <w:t>Portable</w:t>
      </w:r>
    </w:p>
    <w:p w14:paraId="27ADF2B6" w14:textId="77777777" w:rsidR="00745532" w:rsidRDefault="00745532" w:rsidP="00B92837"/>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0"/>
        <w:gridCol w:w="8550"/>
      </w:tblGrid>
      <w:tr w:rsidR="00745532" w14:paraId="70B9FBC3" w14:textId="77777777" w:rsidTr="00A21F99">
        <w:trPr>
          <w:trHeight w:val="268"/>
        </w:trPr>
        <w:tc>
          <w:tcPr>
            <w:tcW w:w="1710" w:type="dxa"/>
            <w:shd w:val="clear" w:color="auto" w:fill="DADADA"/>
          </w:tcPr>
          <w:p w14:paraId="5745041C" w14:textId="77777777" w:rsidR="00745532" w:rsidRDefault="00745532" w:rsidP="00A21F99">
            <w:pPr>
              <w:pStyle w:val="TableParagraph"/>
              <w:spacing w:line="248" w:lineRule="exact"/>
              <w:rPr>
                <w:b/>
              </w:rPr>
            </w:pPr>
            <w:r>
              <w:rPr>
                <w:b/>
              </w:rPr>
              <w:t>Element</w:t>
            </w:r>
          </w:p>
        </w:tc>
        <w:tc>
          <w:tcPr>
            <w:tcW w:w="8550" w:type="dxa"/>
            <w:shd w:val="clear" w:color="auto" w:fill="DADADA"/>
          </w:tcPr>
          <w:p w14:paraId="0DBB97C4" w14:textId="77777777" w:rsidR="00745532" w:rsidRDefault="00745532" w:rsidP="00A21F99">
            <w:pPr>
              <w:pStyle w:val="TableParagraph"/>
              <w:spacing w:line="248" w:lineRule="exact"/>
              <w:ind w:left="105"/>
              <w:rPr>
                <w:b/>
              </w:rPr>
            </w:pPr>
            <w:r>
              <w:rPr>
                <w:b/>
              </w:rPr>
              <w:t>Portable</w:t>
            </w:r>
          </w:p>
        </w:tc>
      </w:tr>
      <w:tr w:rsidR="00745532" w14:paraId="0E2B58E9" w14:textId="77777777" w:rsidTr="00A21F99">
        <w:trPr>
          <w:trHeight w:val="1897"/>
        </w:trPr>
        <w:tc>
          <w:tcPr>
            <w:tcW w:w="1710" w:type="dxa"/>
          </w:tcPr>
          <w:p w14:paraId="29FC6592" w14:textId="77777777" w:rsidR="00745532" w:rsidRDefault="00745532" w:rsidP="00A21F99">
            <w:pPr>
              <w:pStyle w:val="TableParagraph"/>
              <w:spacing w:line="268" w:lineRule="exact"/>
            </w:pPr>
            <w:r>
              <w:t>Criteria:</w:t>
            </w:r>
          </w:p>
        </w:tc>
        <w:tc>
          <w:tcPr>
            <w:tcW w:w="8550" w:type="dxa"/>
          </w:tcPr>
          <w:p w14:paraId="52D16416" w14:textId="77777777" w:rsidR="00745532" w:rsidRDefault="00745532" w:rsidP="00A21F99">
            <w:pPr>
              <w:pStyle w:val="TableParagraph"/>
              <w:spacing w:line="259" w:lineRule="auto"/>
              <w:ind w:left="105" w:right="104"/>
            </w:pPr>
            <w:r>
              <w:t>Portable as evidenced by: (a) transferring seamlessly to postsecondary work through acceptance for credit or hours in core program courses at an institution of higher education; (b) counting toward hours in an aligned apprenticeship program;</w:t>
            </w:r>
          </w:p>
          <w:p w14:paraId="45F975DC" w14:textId="77777777" w:rsidR="00745532" w:rsidRDefault="00745532" w:rsidP="00A21F99">
            <w:pPr>
              <w:pStyle w:val="TableParagraph"/>
              <w:spacing w:line="259" w:lineRule="auto"/>
              <w:ind w:left="105" w:right="377"/>
            </w:pPr>
            <w:r>
              <w:t>(c) being a part of a prescribed coherent sequence of industry recognized credentials to show progressive skills development and/or (d) fostering mobility across employers within the same industry.</w:t>
            </w:r>
          </w:p>
        </w:tc>
      </w:tr>
      <w:tr w:rsidR="00745532" w14:paraId="5ED8E209" w14:textId="77777777" w:rsidTr="00A21F99">
        <w:trPr>
          <w:trHeight w:val="1616"/>
        </w:trPr>
        <w:tc>
          <w:tcPr>
            <w:tcW w:w="1710" w:type="dxa"/>
          </w:tcPr>
          <w:p w14:paraId="2FFE89E9" w14:textId="77777777" w:rsidR="00745532" w:rsidRDefault="00745532" w:rsidP="00A21F99">
            <w:pPr>
              <w:pStyle w:val="TableParagraph"/>
              <w:spacing w:line="268" w:lineRule="exact"/>
            </w:pPr>
            <w:r>
              <w:t>Justification:</w:t>
            </w:r>
          </w:p>
        </w:tc>
        <w:tc>
          <w:tcPr>
            <w:tcW w:w="8550" w:type="dxa"/>
          </w:tcPr>
          <w:p w14:paraId="52FD6A03" w14:textId="77777777" w:rsidR="00745532" w:rsidRDefault="00745532" w:rsidP="00A21F99">
            <w:pPr>
              <w:pStyle w:val="TableParagraph"/>
              <w:spacing w:line="259" w:lineRule="auto"/>
              <w:ind w:left="105" w:right="104"/>
            </w:pPr>
            <w:r>
              <w:t xml:space="preserve">Certification completers are able to transfer acquired knowledge across state lines and businesses more easily because third-party validation addresses specific standards and requirements within industries. By addressing definite proficiencies, employers have an easier time identifying value and qualified workers. </w:t>
            </w:r>
            <w:hyperlink r:id="rId16">
              <w:r>
                <w:rPr>
                  <w:color w:val="0563C1"/>
                  <w:u w:val="single" w:color="0563C1"/>
                </w:rPr>
                <w:t>https://gov.texas.gov/uploads/files/organization/twic/Industry-</w:t>
              </w:r>
            </w:hyperlink>
            <w:r>
              <w:rPr>
                <w:color w:val="0563C1"/>
              </w:rPr>
              <w:t xml:space="preserve"> </w:t>
            </w:r>
            <w:hyperlink r:id="rId17">
              <w:r>
                <w:rPr>
                  <w:color w:val="0563C1"/>
                  <w:u w:val="single" w:color="0563C1"/>
                </w:rPr>
                <w:t>Based_Certifications.pdf</w:t>
              </w:r>
            </w:hyperlink>
          </w:p>
        </w:tc>
      </w:tr>
    </w:tbl>
    <w:p w14:paraId="41645128" w14:textId="77777777" w:rsidR="00745532" w:rsidRDefault="00745532" w:rsidP="00B92837"/>
    <w:sectPr w:rsidR="00745532">
      <w:pgSz w:w="12240" w:h="15840"/>
      <w:pgMar w:top="1560" w:right="1040" w:bottom="940" w:left="960" w:header="1025"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204DF" w14:textId="77777777" w:rsidR="00590BFB" w:rsidRDefault="00FB7C22">
      <w:r>
        <w:separator/>
      </w:r>
    </w:p>
  </w:endnote>
  <w:endnote w:type="continuationSeparator" w:id="0">
    <w:p w14:paraId="0A449E8E" w14:textId="77777777" w:rsidR="00590BFB" w:rsidRDefault="00FB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5F387" w14:textId="77777777" w:rsidR="00F95473" w:rsidRDefault="00CA1743">
    <w:pPr>
      <w:pStyle w:val="BodyText"/>
      <w:spacing w:line="14" w:lineRule="auto"/>
      <w:rPr>
        <w:sz w:val="20"/>
      </w:rPr>
    </w:pPr>
    <w:r>
      <w:pict w14:anchorId="0B8268F7">
        <v:shapetype id="_x0000_t202" coordsize="21600,21600" o:spt="202" path="m,l,21600r21600,l21600,xe">
          <v:stroke joinstyle="miter"/>
          <v:path gradientshapeok="t" o:connecttype="rect"/>
        </v:shapetype>
        <v:shape id="_x0000_s1026" type="#_x0000_t202" style="position:absolute;margin-left:262.4pt;margin-top:743.7pt;width:51.4pt;height:13.05pt;z-index:-8536;mso-position-horizontal-relative:page;mso-position-vertical-relative:page" filled="f" stroked="f">
          <v:textbox inset="0,0,0,0">
            <w:txbxContent>
              <w:p w14:paraId="1B35F0A2" w14:textId="77777777" w:rsidR="00F95473" w:rsidRDefault="00FB7C22">
                <w:pPr>
                  <w:pStyle w:val="BodyText"/>
                  <w:spacing w:line="245" w:lineRule="exact"/>
                  <w:ind w:left="20"/>
                </w:pPr>
                <w:r>
                  <w:t xml:space="preserve">Page </w:t>
                </w:r>
                <w:r>
                  <w:fldChar w:fldCharType="begin"/>
                </w:r>
                <w:r>
                  <w:instrText xml:space="preserve"> PAGE </w:instrText>
                </w:r>
                <w:r>
                  <w:fldChar w:fldCharType="separate"/>
                </w:r>
                <w:r>
                  <w:t>1</w:t>
                </w:r>
                <w:r>
                  <w:fldChar w:fldCharType="end"/>
                </w:r>
                <w:r>
                  <w:t xml:space="preserve"> of </w:t>
                </w:r>
                <w:r w:rsidR="00B92837">
                  <w:t>4</w:t>
                </w:r>
              </w:p>
            </w:txbxContent>
          </v:textbox>
          <w10:wrap anchorx="page" anchory="page"/>
        </v:shape>
      </w:pict>
    </w:r>
    <w:r>
      <w:pict w14:anchorId="250179AA">
        <v:shape id="_x0000_s1025" type="#_x0000_t202" style="position:absolute;margin-left:479pt;margin-top:743.7pt;width:44.15pt;height:13.05pt;z-index:-8512;mso-position-horizontal-relative:page;mso-position-vertical-relative:page" filled="f" stroked="f">
          <v:textbox inset="0,0,0,0">
            <w:txbxContent>
              <w:p w14:paraId="36A04DFF" w14:textId="77777777" w:rsidR="00F95473" w:rsidRDefault="00FB7C22">
                <w:pPr>
                  <w:pStyle w:val="BodyText"/>
                  <w:spacing w:line="245" w:lineRule="exact"/>
                  <w:ind w:left="20"/>
                </w:pPr>
                <w:r>
                  <w:t>1</w:t>
                </w:r>
                <w:r w:rsidR="00B92837">
                  <w:t>1/25/2020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A35DC" w14:textId="77777777" w:rsidR="00590BFB" w:rsidRDefault="00FB7C22">
      <w:r>
        <w:separator/>
      </w:r>
    </w:p>
  </w:footnote>
  <w:footnote w:type="continuationSeparator" w:id="0">
    <w:p w14:paraId="098D881A" w14:textId="77777777" w:rsidR="00590BFB" w:rsidRDefault="00FB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BD06" w14:textId="77777777" w:rsidR="00F95473" w:rsidRDefault="00CA1743">
    <w:pPr>
      <w:pStyle w:val="BodyText"/>
      <w:spacing w:line="14" w:lineRule="auto"/>
      <w:rPr>
        <w:sz w:val="20"/>
      </w:rPr>
    </w:pPr>
    <w:r>
      <w:pict w14:anchorId="430AAC57">
        <v:shapetype id="_x0000_t202" coordsize="21600,21600" o:spt="202" path="m,l,21600r21600,l21600,xe">
          <v:stroke joinstyle="miter"/>
          <v:path gradientshapeok="t" o:connecttype="rect"/>
        </v:shapetype>
        <v:shape id="_x0000_s1027" type="#_x0000_t202" style="position:absolute;margin-left:58.9pt;margin-top:50.25pt;width:494.2pt;height:18pt;z-index:-8560;mso-position-horizontal-relative:page;mso-position-vertical-relative:page" filled="f" stroked="f">
          <v:textbox inset="0,0,0,0">
            <w:txbxContent>
              <w:p w14:paraId="44A52F7F" w14:textId="77777777" w:rsidR="00F95473" w:rsidRDefault="00FB7C22">
                <w:pPr>
                  <w:spacing w:line="345" w:lineRule="exact"/>
                  <w:ind w:left="20"/>
                  <w:rPr>
                    <w:rFonts w:ascii="Calibri Light"/>
                    <w:sz w:val="32"/>
                  </w:rPr>
                </w:pPr>
                <w:r>
                  <w:rPr>
                    <w:rFonts w:ascii="Calibri Light"/>
                    <w:color w:val="1F3864"/>
                    <w:sz w:val="32"/>
                  </w:rPr>
                  <w:t>Procedures for Application of Industry-Based Certification Evaluation Criteria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0ADD"/>
    <w:multiLevelType w:val="hybridMultilevel"/>
    <w:tmpl w:val="F738C316"/>
    <w:lvl w:ilvl="0" w:tplc="A3BE2E4E">
      <w:start w:val="1"/>
      <w:numFmt w:val="upperLetter"/>
      <w:lvlText w:val="(%1)"/>
      <w:lvlJc w:val="left"/>
      <w:pPr>
        <w:ind w:left="419" w:hanging="312"/>
        <w:jc w:val="left"/>
      </w:pPr>
      <w:rPr>
        <w:rFonts w:ascii="Calibri" w:eastAsia="Calibri" w:hAnsi="Calibri" w:cs="Calibri" w:hint="default"/>
        <w:spacing w:val="-1"/>
        <w:w w:val="100"/>
        <w:sz w:val="22"/>
        <w:szCs w:val="22"/>
        <w:lang w:val="en-US" w:eastAsia="en-US" w:bidi="en-US"/>
      </w:rPr>
    </w:lvl>
    <w:lvl w:ilvl="1" w:tplc="CAC20890">
      <w:numFmt w:val="bullet"/>
      <w:lvlText w:val="•"/>
      <w:lvlJc w:val="left"/>
      <w:pPr>
        <w:ind w:left="1150" w:hanging="312"/>
      </w:pPr>
      <w:rPr>
        <w:rFonts w:hint="default"/>
        <w:lang w:val="en-US" w:eastAsia="en-US" w:bidi="en-US"/>
      </w:rPr>
    </w:lvl>
    <w:lvl w:ilvl="2" w:tplc="CB24B6D8">
      <w:numFmt w:val="bullet"/>
      <w:lvlText w:val="•"/>
      <w:lvlJc w:val="left"/>
      <w:pPr>
        <w:ind w:left="1881" w:hanging="312"/>
      </w:pPr>
      <w:rPr>
        <w:rFonts w:hint="default"/>
        <w:lang w:val="en-US" w:eastAsia="en-US" w:bidi="en-US"/>
      </w:rPr>
    </w:lvl>
    <w:lvl w:ilvl="3" w:tplc="EC5667B4">
      <w:numFmt w:val="bullet"/>
      <w:lvlText w:val="•"/>
      <w:lvlJc w:val="left"/>
      <w:pPr>
        <w:ind w:left="2611" w:hanging="312"/>
      </w:pPr>
      <w:rPr>
        <w:rFonts w:hint="default"/>
        <w:lang w:val="en-US" w:eastAsia="en-US" w:bidi="en-US"/>
      </w:rPr>
    </w:lvl>
    <w:lvl w:ilvl="4" w:tplc="EBE2DB94">
      <w:numFmt w:val="bullet"/>
      <w:lvlText w:val="•"/>
      <w:lvlJc w:val="left"/>
      <w:pPr>
        <w:ind w:left="3342" w:hanging="312"/>
      </w:pPr>
      <w:rPr>
        <w:rFonts w:hint="default"/>
        <w:lang w:val="en-US" w:eastAsia="en-US" w:bidi="en-US"/>
      </w:rPr>
    </w:lvl>
    <w:lvl w:ilvl="5" w:tplc="5A18D6A6">
      <w:numFmt w:val="bullet"/>
      <w:lvlText w:val="•"/>
      <w:lvlJc w:val="left"/>
      <w:pPr>
        <w:ind w:left="4072" w:hanging="312"/>
      </w:pPr>
      <w:rPr>
        <w:rFonts w:hint="default"/>
        <w:lang w:val="en-US" w:eastAsia="en-US" w:bidi="en-US"/>
      </w:rPr>
    </w:lvl>
    <w:lvl w:ilvl="6" w:tplc="2946B8AE">
      <w:numFmt w:val="bullet"/>
      <w:lvlText w:val="•"/>
      <w:lvlJc w:val="left"/>
      <w:pPr>
        <w:ind w:left="4803" w:hanging="312"/>
      </w:pPr>
      <w:rPr>
        <w:rFonts w:hint="default"/>
        <w:lang w:val="en-US" w:eastAsia="en-US" w:bidi="en-US"/>
      </w:rPr>
    </w:lvl>
    <w:lvl w:ilvl="7" w:tplc="968888FA">
      <w:numFmt w:val="bullet"/>
      <w:lvlText w:val="•"/>
      <w:lvlJc w:val="left"/>
      <w:pPr>
        <w:ind w:left="5533" w:hanging="312"/>
      </w:pPr>
      <w:rPr>
        <w:rFonts w:hint="default"/>
        <w:lang w:val="en-US" w:eastAsia="en-US" w:bidi="en-US"/>
      </w:rPr>
    </w:lvl>
    <w:lvl w:ilvl="8" w:tplc="52CCCC84">
      <w:numFmt w:val="bullet"/>
      <w:lvlText w:val="•"/>
      <w:lvlJc w:val="left"/>
      <w:pPr>
        <w:ind w:left="6264" w:hanging="312"/>
      </w:pPr>
      <w:rPr>
        <w:rFonts w:hint="default"/>
        <w:lang w:val="en-US" w:eastAsia="en-US" w:bidi="en-US"/>
      </w:rPr>
    </w:lvl>
  </w:abstractNum>
  <w:abstractNum w:abstractNumId="1" w15:restartNumberingAfterBreak="0">
    <w:nsid w:val="137A5059"/>
    <w:multiLevelType w:val="hybridMultilevel"/>
    <w:tmpl w:val="427A8E0A"/>
    <w:lvl w:ilvl="0" w:tplc="7C6CD618">
      <w:start w:val="1"/>
      <w:numFmt w:val="decimal"/>
      <w:lvlText w:val="%1."/>
      <w:lvlJc w:val="left"/>
      <w:pPr>
        <w:ind w:left="825" w:hanging="360"/>
        <w:jc w:val="left"/>
      </w:pPr>
      <w:rPr>
        <w:rFonts w:ascii="Calibri" w:eastAsia="Calibri" w:hAnsi="Calibri" w:cs="Calibri" w:hint="default"/>
        <w:w w:val="100"/>
        <w:sz w:val="22"/>
        <w:szCs w:val="22"/>
        <w:lang w:val="en-US" w:eastAsia="en-US" w:bidi="en-US"/>
      </w:rPr>
    </w:lvl>
    <w:lvl w:ilvl="1" w:tplc="0EBA7104">
      <w:numFmt w:val="bullet"/>
      <w:lvlText w:val="•"/>
      <w:lvlJc w:val="left"/>
      <w:pPr>
        <w:ind w:left="1501" w:hanging="360"/>
      </w:pPr>
      <w:rPr>
        <w:rFonts w:hint="default"/>
        <w:lang w:val="en-US" w:eastAsia="en-US" w:bidi="en-US"/>
      </w:rPr>
    </w:lvl>
    <w:lvl w:ilvl="2" w:tplc="127EC58C">
      <w:numFmt w:val="bullet"/>
      <w:lvlText w:val="•"/>
      <w:lvlJc w:val="left"/>
      <w:pPr>
        <w:ind w:left="2183" w:hanging="360"/>
      </w:pPr>
      <w:rPr>
        <w:rFonts w:hint="default"/>
        <w:lang w:val="en-US" w:eastAsia="en-US" w:bidi="en-US"/>
      </w:rPr>
    </w:lvl>
    <w:lvl w:ilvl="3" w:tplc="1B3C2630">
      <w:numFmt w:val="bullet"/>
      <w:lvlText w:val="•"/>
      <w:lvlJc w:val="left"/>
      <w:pPr>
        <w:ind w:left="2865" w:hanging="360"/>
      </w:pPr>
      <w:rPr>
        <w:rFonts w:hint="default"/>
        <w:lang w:val="en-US" w:eastAsia="en-US" w:bidi="en-US"/>
      </w:rPr>
    </w:lvl>
    <w:lvl w:ilvl="4" w:tplc="4860DD38">
      <w:numFmt w:val="bullet"/>
      <w:lvlText w:val="•"/>
      <w:lvlJc w:val="left"/>
      <w:pPr>
        <w:ind w:left="3547" w:hanging="360"/>
      </w:pPr>
      <w:rPr>
        <w:rFonts w:hint="default"/>
        <w:lang w:val="en-US" w:eastAsia="en-US" w:bidi="en-US"/>
      </w:rPr>
    </w:lvl>
    <w:lvl w:ilvl="5" w:tplc="67FED0AC">
      <w:numFmt w:val="bullet"/>
      <w:lvlText w:val="•"/>
      <w:lvlJc w:val="left"/>
      <w:pPr>
        <w:ind w:left="4229" w:hanging="360"/>
      </w:pPr>
      <w:rPr>
        <w:rFonts w:hint="default"/>
        <w:lang w:val="en-US" w:eastAsia="en-US" w:bidi="en-US"/>
      </w:rPr>
    </w:lvl>
    <w:lvl w:ilvl="6" w:tplc="034845B4">
      <w:numFmt w:val="bullet"/>
      <w:lvlText w:val="•"/>
      <w:lvlJc w:val="left"/>
      <w:pPr>
        <w:ind w:left="4910" w:hanging="360"/>
      </w:pPr>
      <w:rPr>
        <w:rFonts w:hint="default"/>
        <w:lang w:val="en-US" w:eastAsia="en-US" w:bidi="en-US"/>
      </w:rPr>
    </w:lvl>
    <w:lvl w:ilvl="7" w:tplc="986AB79E">
      <w:numFmt w:val="bullet"/>
      <w:lvlText w:val="•"/>
      <w:lvlJc w:val="left"/>
      <w:pPr>
        <w:ind w:left="5592" w:hanging="360"/>
      </w:pPr>
      <w:rPr>
        <w:rFonts w:hint="default"/>
        <w:lang w:val="en-US" w:eastAsia="en-US" w:bidi="en-US"/>
      </w:rPr>
    </w:lvl>
    <w:lvl w:ilvl="8" w:tplc="C728BEC2">
      <w:numFmt w:val="bullet"/>
      <w:lvlText w:val="•"/>
      <w:lvlJc w:val="left"/>
      <w:pPr>
        <w:ind w:left="6274" w:hanging="360"/>
      </w:pPr>
      <w:rPr>
        <w:rFonts w:hint="default"/>
        <w:lang w:val="en-US" w:eastAsia="en-US" w:bidi="en-US"/>
      </w:rPr>
    </w:lvl>
  </w:abstractNum>
  <w:abstractNum w:abstractNumId="2" w15:restartNumberingAfterBreak="0">
    <w:nsid w:val="43BE1E37"/>
    <w:multiLevelType w:val="hybridMultilevel"/>
    <w:tmpl w:val="AD869234"/>
    <w:lvl w:ilvl="0" w:tplc="7AC8E10C">
      <w:start w:val="1"/>
      <w:numFmt w:val="decimal"/>
      <w:lvlText w:val="%1."/>
      <w:lvlJc w:val="left"/>
      <w:pPr>
        <w:ind w:left="828" w:hanging="360"/>
        <w:jc w:val="left"/>
      </w:pPr>
      <w:rPr>
        <w:rFonts w:ascii="Calibri" w:eastAsia="Calibri" w:hAnsi="Calibri" w:cs="Calibri" w:hint="default"/>
        <w:w w:val="100"/>
        <w:sz w:val="22"/>
        <w:szCs w:val="22"/>
        <w:lang w:val="en-US" w:eastAsia="en-US" w:bidi="en-US"/>
      </w:rPr>
    </w:lvl>
    <w:lvl w:ilvl="1" w:tplc="40520886">
      <w:numFmt w:val="bullet"/>
      <w:lvlText w:val="•"/>
      <w:lvlJc w:val="left"/>
      <w:pPr>
        <w:ind w:left="1510" w:hanging="360"/>
      </w:pPr>
      <w:rPr>
        <w:rFonts w:hint="default"/>
        <w:lang w:val="en-US" w:eastAsia="en-US" w:bidi="en-US"/>
      </w:rPr>
    </w:lvl>
    <w:lvl w:ilvl="2" w:tplc="659A2C3C">
      <w:numFmt w:val="bullet"/>
      <w:lvlText w:val="•"/>
      <w:lvlJc w:val="left"/>
      <w:pPr>
        <w:ind w:left="2201" w:hanging="360"/>
      </w:pPr>
      <w:rPr>
        <w:rFonts w:hint="default"/>
        <w:lang w:val="en-US" w:eastAsia="en-US" w:bidi="en-US"/>
      </w:rPr>
    </w:lvl>
    <w:lvl w:ilvl="3" w:tplc="4584495C">
      <w:numFmt w:val="bullet"/>
      <w:lvlText w:val="•"/>
      <w:lvlJc w:val="left"/>
      <w:pPr>
        <w:ind w:left="2891" w:hanging="360"/>
      </w:pPr>
      <w:rPr>
        <w:rFonts w:hint="default"/>
        <w:lang w:val="en-US" w:eastAsia="en-US" w:bidi="en-US"/>
      </w:rPr>
    </w:lvl>
    <w:lvl w:ilvl="4" w:tplc="B256FB48">
      <w:numFmt w:val="bullet"/>
      <w:lvlText w:val="•"/>
      <w:lvlJc w:val="left"/>
      <w:pPr>
        <w:ind w:left="3582" w:hanging="360"/>
      </w:pPr>
      <w:rPr>
        <w:rFonts w:hint="default"/>
        <w:lang w:val="en-US" w:eastAsia="en-US" w:bidi="en-US"/>
      </w:rPr>
    </w:lvl>
    <w:lvl w:ilvl="5" w:tplc="7B6E9C58">
      <w:numFmt w:val="bullet"/>
      <w:lvlText w:val="•"/>
      <w:lvlJc w:val="left"/>
      <w:pPr>
        <w:ind w:left="4272" w:hanging="360"/>
      </w:pPr>
      <w:rPr>
        <w:rFonts w:hint="default"/>
        <w:lang w:val="en-US" w:eastAsia="en-US" w:bidi="en-US"/>
      </w:rPr>
    </w:lvl>
    <w:lvl w:ilvl="6" w:tplc="81587D28">
      <w:numFmt w:val="bullet"/>
      <w:lvlText w:val="•"/>
      <w:lvlJc w:val="left"/>
      <w:pPr>
        <w:ind w:left="4963" w:hanging="360"/>
      </w:pPr>
      <w:rPr>
        <w:rFonts w:hint="default"/>
        <w:lang w:val="en-US" w:eastAsia="en-US" w:bidi="en-US"/>
      </w:rPr>
    </w:lvl>
    <w:lvl w:ilvl="7" w:tplc="F078BF9A">
      <w:numFmt w:val="bullet"/>
      <w:lvlText w:val="•"/>
      <w:lvlJc w:val="left"/>
      <w:pPr>
        <w:ind w:left="5653" w:hanging="360"/>
      </w:pPr>
      <w:rPr>
        <w:rFonts w:hint="default"/>
        <w:lang w:val="en-US" w:eastAsia="en-US" w:bidi="en-US"/>
      </w:rPr>
    </w:lvl>
    <w:lvl w:ilvl="8" w:tplc="2B6635B6">
      <w:numFmt w:val="bullet"/>
      <w:lvlText w:val="•"/>
      <w:lvlJc w:val="left"/>
      <w:pPr>
        <w:ind w:left="6344" w:hanging="360"/>
      </w:pPr>
      <w:rPr>
        <w:rFonts w:hint="default"/>
        <w:lang w:val="en-US" w:eastAsia="en-US" w:bidi="en-US"/>
      </w:rPr>
    </w:lvl>
  </w:abstractNum>
  <w:abstractNum w:abstractNumId="3" w15:restartNumberingAfterBreak="0">
    <w:nsid w:val="4FC50C1D"/>
    <w:multiLevelType w:val="hybridMultilevel"/>
    <w:tmpl w:val="C03897C0"/>
    <w:lvl w:ilvl="0" w:tplc="1BC844DE">
      <w:start w:val="3"/>
      <w:numFmt w:val="decimal"/>
      <w:lvlText w:val="(%1)"/>
      <w:lvlJc w:val="left"/>
      <w:pPr>
        <w:ind w:left="405" w:hanging="298"/>
        <w:jc w:val="left"/>
      </w:pPr>
      <w:rPr>
        <w:rFonts w:ascii="Calibri" w:eastAsia="Calibri" w:hAnsi="Calibri" w:cs="Calibri" w:hint="default"/>
        <w:w w:val="100"/>
        <w:sz w:val="22"/>
        <w:szCs w:val="22"/>
        <w:lang w:val="en-US" w:eastAsia="en-US" w:bidi="en-US"/>
      </w:rPr>
    </w:lvl>
    <w:lvl w:ilvl="1" w:tplc="763651C2">
      <w:start w:val="1"/>
      <w:numFmt w:val="upperLetter"/>
      <w:lvlText w:val="(%2)"/>
      <w:lvlJc w:val="left"/>
      <w:pPr>
        <w:ind w:left="419" w:hanging="312"/>
        <w:jc w:val="left"/>
      </w:pPr>
      <w:rPr>
        <w:rFonts w:ascii="Calibri" w:eastAsia="Calibri" w:hAnsi="Calibri" w:cs="Calibri" w:hint="default"/>
        <w:spacing w:val="-1"/>
        <w:w w:val="100"/>
        <w:sz w:val="22"/>
        <w:szCs w:val="22"/>
        <w:lang w:val="en-US" w:eastAsia="en-US" w:bidi="en-US"/>
      </w:rPr>
    </w:lvl>
    <w:lvl w:ilvl="2" w:tplc="11DCA144">
      <w:numFmt w:val="bullet"/>
      <w:lvlText w:val="•"/>
      <w:lvlJc w:val="left"/>
      <w:pPr>
        <w:ind w:left="1231" w:hanging="312"/>
      </w:pPr>
      <w:rPr>
        <w:rFonts w:hint="default"/>
        <w:lang w:val="en-US" w:eastAsia="en-US" w:bidi="en-US"/>
      </w:rPr>
    </w:lvl>
    <w:lvl w:ilvl="3" w:tplc="531E108C">
      <w:numFmt w:val="bullet"/>
      <w:lvlText w:val="•"/>
      <w:lvlJc w:val="left"/>
      <w:pPr>
        <w:ind w:left="2043" w:hanging="312"/>
      </w:pPr>
      <w:rPr>
        <w:rFonts w:hint="default"/>
        <w:lang w:val="en-US" w:eastAsia="en-US" w:bidi="en-US"/>
      </w:rPr>
    </w:lvl>
    <w:lvl w:ilvl="4" w:tplc="06AE85DC">
      <w:numFmt w:val="bullet"/>
      <w:lvlText w:val="•"/>
      <w:lvlJc w:val="left"/>
      <w:pPr>
        <w:ind w:left="2855" w:hanging="312"/>
      </w:pPr>
      <w:rPr>
        <w:rFonts w:hint="default"/>
        <w:lang w:val="en-US" w:eastAsia="en-US" w:bidi="en-US"/>
      </w:rPr>
    </w:lvl>
    <w:lvl w:ilvl="5" w:tplc="DD883B4E">
      <w:numFmt w:val="bullet"/>
      <w:lvlText w:val="•"/>
      <w:lvlJc w:val="left"/>
      <w:pPr>
        <w:ind w:left="3666" w:hanging="312"/>
      </w:pPr>
      <w:rPr>
        <w:rFonts w:hint="default"/>
        <w:lang w:val="en-US" w:eastAsia="en-US" w:bidi="en-US"/>
      </w:rPr>
    </w:lvl>
    <w:lvl w:ilvl="6" w:tplc="6EC02D64">
      <w:numFmt w:val="bullet"/>
      <w:lvlText w:val="•"/>
      <w:lvlJc w:val="left"/>
      <w:pPr>
        <w:ind w:left="4478" w:hanging="312"/>
      </w:pPr>
      <w:rPr>
        <w:rFonts w:hint="default"/>
        <w:lang w:val="en-US" w:eastAsia="en-US" w:bidi="en-US"/>
      </w:rPr>
    </w:lvl>
    <w:lvl w:ilvl="7" w:tplc="C8B2C814">
      <w:numFmt w:val="bullet"/>
      <w:lvlText w:val="•"/>
      <w:lvlJc w:val="left"/>
      <w:pPr>
        <w:ind w:left="5290" w:hanging="312"/>
      </w:pPr>
      <w:rPr>
        <w:rFonts w:hint="default"/>
        <w:lang w:val="en-US" w:eastAsia="en-US" w:bidi="en-US"/>
      </w:rPr>
    </w:lvl>
    <w:lvl w:ilvl="8" w:tplc="4EC6642C">
      <w:numFmt w:val="bullet"/>
      <w:lvlText w:val="•"/>
      <w:lvlJc w:val="left"/>
      <w:pPr>
        <w:ind w:left="6101" w:hanging="312"/>
      </w:pPr>
      <w:rPr>
        <w:rFonts w:hint="default"/>
        <w:lang w:val="en-US" w:eastAsia="en-US" w:bidi="en-US"/>
      </w:rPr>
    </w:lvl>
  </w:abstractNum>
  <w:abstractNum w:abstractNumId="4" w15:restartNumberingAfterBreak="0">
    <w:nsid w:val="51D056B6"/>
    <w:multiLevelType w:val="hybridMultilevel"/>
    <w:tmpl w:val="93465E5C"/>
    <w:lvl w:ilvl="0" w:tplc="6DB40D5E">
      <w:start w:val="1"/>
      <w:numFmt w:val="decimal"/>
      <w:lvlText w:val="%1."/>
      <w:lvlJc w:val="left"/>
      <w:pPr>
        <w:ind w:left="828" w:hanging="360"/>
        <w:jc w:val="left"/>
      </w:pPr>
      <w:rPr>
        <w:rFonts w:ascii="Calibri" w:eastAsia="Calibri" w:hAnsi="Calibri" w:cs="Calibri" w:hint="default"/>
        <w:w w:val="100"/>
        <w:sz w:val="22"/>
        <w:szCs w:val="22"/>
        <w:lang w:val="en-US" w:eastAsia="en-US" w:bidi="en-US"/>
      </w:rPr>
    </w:lvl>
    <w:lvl w:ilvl="1" w:tplc="15F496B8">
      <w:start w:val="1"/>
      <w:numFmt w:val="lowerLetter"/>
      <w:lvlText w:val="%2."/>
      <w:lvlJc w:val="left"/>
      <w:pPr>
        <w:ind w:left="1547" w:hanging="360"/>
        <w:jc w:val="left"/>
      </w:pPr>
      <w:rPr>
        <w:rFonts w:ascii="Calibri" w:eastAsia="Calibri" w:hAnsi="Calibri" w:cs="Calibri" w:hint="default"/>
        <w:spacing w:val="-1"/>
        <w:w w:val="100"/>
        <w:sz w:val="22"/>
        <w:szCs w:val="22"/>
        <w:lang w:val="en-US" w:eastAsia="en-US" w:bidi="en-US"/>
      </w:rPr>
    </w:lvl>
    <w:lvl w:ilvl="2" w:tplc="80B667E2">
      <w:numFmt w:val="bullet"/>
      <w:lvlText w:val="•"/>
      <w:lvlJc w:val="left"/>
      <w:pPr>
        <w:ind w:left="2227" w:hanging="360"/>
      </w:pPr>
      <w:rPr>
        <w:rFonts w:hint="default"/>
        <w:lang w:val="en-US" w:eastAsia="en-US" w:bidi="en-US"/>
      </w:rPr>
    </w:lvl>
    <w:lvl w:ilvl="3" w:tplc="E36C5C36">
      <w:numFmt w:val="bullet"/>
      <w:lvlText w:val="•"/>
      <w:lvlJc w:val="left"/>
      <w:pPr>
        <w:ind w:left="2914" w:hanging="360"/>
      </w:pPr>
      <w:rPr>
        <w:rFonts w:hint="default"/>
        <w:lang w:val="en-US" w:eastAsia="en-US" w:bidi="en-US"/>
      </w:rPr>
    </w:lvl>
    <w:lvl w:ilvl="4" w:tplc="E36422F8">
      <w:numFmt w:val="bullet"/>
      <w:lvlText w:val="•"/>
      <w:lvlJc w:val="left"/>
      <w:pPr>
        <w:ind w:left="3601" w:hanging="360"/>
      </w:pPr>
      <w:rPr>
        <w:rFonts w:hint="default"/>
        <w:lang w:val="en-US" w:eastAsia="en-US" w:bidi="en-US"/>
      </w:rPr>
    </w:lvl>
    <w:lvl w:ilvl="5" w:tplc="00C03C74">
      <w:numFmt w:val="bullet"/>
      <w:lvlText w:val="•"/>
      <w:lvlJc w:val="left"/>
      <w:pPr>
        <w:ind w:left="4288" w:hanging="360"/>
      </w:pPr>
      <w:rPr>
        <w:rFonts w:hint="default"/>
        <w:lang w:val="en-US" w:eastAsia="en-US" w:bidi="en-US"/>
      </w:rPr>
    </w:lvl>
    <w:lvl w:ilvl="6" w:tplc="99A00132">
      <w:numFmt w:val="bullet"/>
      <w:lvlText w:val="•"/>
      <w:lvlJc w:val="left"/>
      <w:pPr>
        <w:ind w:left="4976" w:hanging="360"/>
      </w:pPr>
      <w:rPr>
        <w:rFonts w:hint="default"/>
        <w:lang w:val="en-US" w:eastAsia="en-US" w:bidi="en-US"/>
      </w:rPr>
    </w:lvl>
    <w:lvl w:ilvl="7" w:tplc="2BA83450">
      <w:numFmt w:val="bullet"/>
      <w:lvlText w:val="•"/>
      <w:lvlJc w:val="left"/>
      <w:pPr>
        <w:ind w:left="5663" w:hanging="360"/>
      </w:pPr>
      <w:rPr>
        <w:rFonts w:hint="default"/>
        <w:lang w:val="en-US" w:eastAsia="en-US" w:bidi="en-US"/>
      </w:rPr>
    </w:lvl>
    <w:lvl w:ilvl="8" w:tplc="4308F7DA">
      <w:numFmt w:val="bullet"/>
      <w:lvlText w:val="•"/>
      <w:lvlJc w:val="left"/>
      <w:pPr>
        <w:ind w:left="6350" w:hanging="360"/>
      </w:pPr>
      <w:rPr>
        <w:rFonts w:hint="default"/>
        <w:lang w:val="en-US" w:eastAsia="en-US" w:bidi="en-US"/>
      </w:rPr>
    </w:lvl>
  </w:abstractNum>
  <w:abstractNum w:abstractNumId="5" w15:restartNumberingAfterBreak="0">
    <w:nsid w:val="58B01761"/>
    <w:multiLevelType w:val="hybridMultilevel"/>
    <w:tmpl w:val="337A42D4"/>
    <w:lvl w:ilvl="0" w:tplc="763651C2">
      <w:start w:val="1"/>
      <w:numFmt w:val="upperLetter"/>
      <w:lvlText w:val="(%1)"/>
      <w:lvlJc w:val="left"/>
      <w:pPr>
        <w:ind w:left="827" w:hanging="360"/>
      </w:pPr>
      <w:rPr>
        <w:rFonts w:ascii="Calibri" w:eastAsia="Calibri" w:hAnsi="Calibri" w:cs="Calibri" w:hint="default"/>
        <w:spacing w:val="-1"/>
        <w:w w:val="100"/>
        <w:sz w:val="22"/>
        <w:szCs w:val="22"/>
        <w:lang w:val="en-US" w:eastAsia="en-US" w:bidi="en-US"/>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6" w15:restartNumberingAfterBreak="0">
    <w:nsid w:val="5C654D77"/>
    <w:multiLevelType w:val="hybridMultilevel"/>
    <w:tmpl w:val="43AA210C"/>
    <w:lvl w:ilvl="0" w:tplc="459E2DE8">
      <w:start w:val="1"/>
      <w:numFmt w:val="decimal"/>
      <w:lvlText w:val="%1."/>
      <w:lvlJc w:val="left"/>
      <w:pPr>
        <w:ind w:left="468" w:hanging="360"/>
        <w:jc w:val="left"/>
      </w:pPr>
      <w:rPr>
        <w:rFonts w:ascii="Calibri" w:eastAsia="Calibri" w:hAnsi="Calibri" w:cs="Calibri" w:hint="default"/>
        <w:w w:val="100"/>
        <w:sz w:val="22"/>
        <w:szCs w:val="22"/>
        <w:lang w:val="en-US" w:eastAsia="en-US" w:bidi="en-US"/>
      </w:rPr>
    </w:lvl>
    <w:lvl w:ilvl="1" w:tplc="8D928518">
      <w:numFmt w:val="bullet"/>
      <w:lvlText w:val=""/>
      <w:lvlJc w:val="left"/>
      <w:pPr>
        <w:ind w:left="1188" w:hanging="361"/>
      </w:pPr>
      <w:rPr>
        <w:rFonts w:ascii="Symbol" w:eastAsia="Symbol" w:hAnsi="Symbol" w:cs="Symbol" w:hint="default"/>
        <w:w w:val="100"/>
        <w:sz w:val="22"/>
        <w:szCs w:val="22"/>
        <w:lang w:val="en-US" w:eastAsia="en-US" w:bidi="en-US"/>
      </w:rPr>
    </w:lvl>
    <w:lvl w:ilvl="2" w:tplc="5FC22222">
      <w:numFmt w:val="bullet"/>
      <w:lvlText w:val="•"/>
      <w:lvlJc w:val="left"/>
      <w:pPr>
        <w:ind w:left="1907" w:hanging="361"/>
      </w:pPr>
      <w:rPr>
        <w:rFonts w:hint="default"/>
        <w:lang w:val="en-US" w:eastAsia="en-US" w:bidi="en-US"/>
      </w:rPr>
    </w:lvl>
    <w:lvl w:ilvl="3" w:tplc="CE6ED16E">
      <w:numFmt w:val="bullet"/>
      <w:lvlText w:val="•"/>
      <w:lvlJc w:val="left"/>
      <w:pPr>
        <w:ind w:left="2634" w:hanging="361"/>
      </w:pPr>
      <w:rPr>
        <w:rFonts w:hint="default"/>
        <w:lang w:val="en-US" w:eastAsia="en-US" w:bidi="en-US"/>
      </w:rPr>
    </w:lvl>
    <w:lvl w:ilvl="4" w:tplc="EDA0AAEC">
      <w:numFmt w:val="bullet"/>
      <w:lvlText w:val="•"/>
      <w:lvlJc w:val="left"/>
      <w:pPr>
        <w:ind w:left="3361" w:hanging="361"/>
      </w:pPr>
      <w:rPr>
        <w:rFonts w:hint="default"/>
        <w:lang w:val="en-US" w:eastAsia="en-US" w:bidi="en-US"/>
      </w:rPr>
    </w:lvl>
    <w:lvl w:ilvl="5" w:tplc="8A183344">
      <w:numFmt w:val="bullet"/>
      <w:lvlText w:val="•"/>
      <w:lvlJc w:val="left"/>
      <w:pPr>
        <w:ind w:left="4088" w:hanging="361"/>
      </w:pPr>
      <w:rPr>
        <w:rFonts w:hint="default"/>
        <w:lang w:val="en-US" w:eastAsia="en-US" w:bidi="en-US"/>
      </w:rPr>
    </w:lvl>
    <w:lvl w:ilvl="6" w:tplc="0F36DF1A">
      <w:numFmt w:val="bullet"/>
      <w:lvlText w:val="•"/>
      <w:lvlJc w:val="left"/>
      <w:pPr>
        <w:ind w:left="4816" w:hanging="361"/>
      </w:pPr>
      <w:rPr>
        <w:rFonts w:hint="default"/>
        <w:lang w:val="en-US" w:eastAsia="en-US" w:bidi="en-US"/>
      </w:rPr>
    </w:lvl>
    <w:lvl w:ilvl="7" w:tplc="AA6C6FDE">
      <w:numFmt w:val="bullet"/>
      <w:lvlText w:val="•"/>
      <w:lvlJc w:val="left"/>
      <w:pPr>
        <w:ind w:left="5543" w:hanging="361"/>
      </w:pPr>
      <w:rPr>
        <w:rFonts w:hint="default"/>
        <w:lang w:val="en-US" w:eastAsia="en-US" w:bidi="en-US"/>
      </w:rPr>
    </w:lvl>
    <w:lvl w:ilvl="8" w:tplc="08284F24">
      <w:numFmt w:val="bullet"/>
      <w:lvlText w:val="•"/>
      <w:lvlJc w:val="left"/>
      <w:pPr>
        <w:ind w:left="6270" w:hanging="361"/>
      </w:pPr>
      <w:rPr>
        <w:rFonts w:hint="default"/>
        <w:lang w:val="en-US" w:eastAsia="en-US" w:bidi="en-US"/>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95473"/>
    <w:rsid w:val="00057DD2"/>
    <w:rsid w:val="003354E3"/>
    <w:rsid w:val="00590BFB"/>
    <w:rsid w:val="006A2820"/>
    <w:rsid w:val="00745532"/>
    <w:rsid w:val="007D4627"/>
    <w:rsid w:val="00AE3406"/>
    <w:rsid w:val="00B92837"/>
    <w:rsid w:val="00CA1743"/>
    <w:rsid w:val="00D30BC9"/>
    <w:rsid w:val="00DE2E13"/>
    <w:rsid w:val="00DE456D"/>
    <w:rsid w:val="00E83854"/>
    <w:rsid w:val="00F95473"/>
    <w:rsid w:val="00FB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ECE5F"/>
  <w15:docId w15:val="{9CBC5D8E-ACDF-4C7B-A315-24DBBDDF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10"/>
      <w:ind w:left="120"/>
      <w:outlineLvl w:val="0"/>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92837"/>
    <w:pPr>
      <w:tabs>
        <w:tab w:val="center" w:pos="4680"/>
        <w:tab w:val="right" w:pos="9360"/>
      </w:tabs>
    </w:pPr>
  </w:style>
  <w:style w:type="character" w:customStyle="1" w:styleId="HeaderChar">
    <w:name w:val="Header Char"/>
    <w:basedOn w:val="DefaultParagraphFont"/>
    <w:link w:val="Header"/>
    <w:uiPriority w:val="99"/>
    <w:rsid w:val="00B92837"/>
    <w:rPr>
      <w:rFonts w:ascii="Calibri" w:eastAsia="Calibri" w:hAnsi="Calibri" w:cs="Calibri"/>
      <w:lang w:bidi="en-US"/>
    </w:rPr>
  </w:style>
  <w:style w:type="paragraph" w:styleId="Footer">
    <w:name w:val="footer"/>
    <w:basedOn w:val="Normal"/>
    <w:link w:val="FooterChar"/>
    <w:uiPriority w:val="99"/>
    <w:unhideWhenUsed/>
    <w:rsid w:val="00B92837"/>
    <w:pPr>
      <w:tabs>
        <w:tab w:val="center" w:pos="4680"/>
        <w:tab w:val="right" w:pos="9360"/>
      </w:tabs>
    </w:pPr>
  </w:style>
  <w:style w:type="character" w:customStyle="1" w:styleId="FooterChar">
    <w:name w:val="Footer Char"/>
    <w:basedOn w:val="DefaultParagraphFont"/>
    <w:link w:val="Footer"/>
    <w:uiPriority w:val="99"/>
    <w:rsid w:val="00B9283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ov.texas.gov/uploads/files/organization/twic/Industry-Based_Certifications.pdf" TargetMode="External"/><Relationship Id="rId13" Type="http://schemas.openxmlformats.org/officeDocument/2006/relationships/hyperlink" Target="https://gov.texas.gov/uploads/files/organization/twic/Industry-Based_Certification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texas.gov/uploads/files/organization/twic/Industry-Based_Certifications.pdf" TargetMode="External"/><Relationship Id="rId12" Type="http://schemas.openxmlformats.org/officeDocument/2006/relationships/hyperlink" Target="https://gov.texas.gov/uploads/files/organization/twic/Industry-Based_Certifications.pdf" TargetMode="External"/><Relationship Id="rId17" Type="http://schemas.openxmlformats.org/officeDocument/2006/relationships/hyperlink" Target="https://gov.texas.gov/uploads/files/organization/twic/Industry-Based_Certifications.pdf" TargetMode="External"/><Relationship Id="rId2" Type="http://schemas.openxmlformats.org/officeDocument/2006/relationships/styles" Target="styles.xml"/><Relationship Id="rId16" Type="http://schemas.openxmlformats.org/officeDocument/2006/relationships/hyperlink" Target="https://gov.texas.gov/uploads/files/organization/twic/Industry-Based_Certificat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tech.org/resource/credentials-of-value" TargetMode="External"/><Relationship Id="rId5" Type="http://schemas.openxmlformats.org/officeDocument/2006/relationships/footnotes" Target="footnotes.xml"/><Relationship Id="rId15" Type="http://schemas.openxmlformats.org/officeDocument/2006/relationships/hyperlink" Target="https://tea.texas.gov/Academics/Instructional_Materials/Review_and_Adoption_Process/The_Review_and_Adoption_Proces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tea.texas.gov/Academics/Instructional_Materials/Review_and_Adoption_Process/The_Review_and_Adoption_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Procedures for Application of Industry-Based Certification Evaluation Criteria</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Application of Industry-Based Certification Evaluation Criteria</dc:title>
  <dc:creator>Merritt, Ryan</dc:creator>
  <cp:lastModifiedBy>Bullock, Jennifer</cp:lastModifiedBy>
  <cp:revision>2</cp:revision>
  <dcterms:created xsi:type="dcterms:W3CDTF">2020-11-24T20:54:00Z</dcterms:created>
  <dcterms:modified xsi:type="dcterms:W3CDTF">2020-11-24T20:54:00Z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Acrobat PDFMaker 11 for Word</vt:lpwstr>
  </property>
  <property fmtid="{D5CDD505-2E9C-101B-9397-08002B2CF9AE}" pid="4" name="LastSaved">
    <vt:filetime>2020-11-17T00:00:00Z</vt:filetime>
  </property>
</Properties>
</file>