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2988" w14:textId="1EDD8C5E" w:rsidR="00594F9B" w:rsidRPr="0003778D" w:rsidRDefault="00431C8B" w:rsidP="0003778D">
      <w:pPr>
        <w:rPr>
          <w:b/>
          <w:sz w:val="24"/>
          <w:szCs w:val="24"/>
          <w:u w:val="single"/>
        </w:rPr>
      </w:pPr>
      <w:bookmarkStart w:id="0" w:name="_Ref519677175"/>
      <w:bookmarkStart w:id="1" w:name="_Toc520854249"/>
      <w:r w:rsidRPr="0003778D">
        <w:rPr>
          <w:b/>
          <w:sz w:val="24"/>
          <w:szCs w:val="24"/>
          <w:u w:val="single"/>
        </w:rPr>
        <w:t>Attachment 4 – Overview of GEAR UP Grants</w:t>
      </w:r>
      <w:bookmarkEnd w:id="0"/>
      <w:bookmarkEnd w:id="1"/>
    </w:p>
    <w:p w14:paraId="2FEB7663" w14:textId="772977B2" w:rsidR="00431C8B" w:rsidRDefault="00431C8B" w:rsidP="00431C8B"/>
    <w:p w14:paraId="569F9EFF" w14:textId="77777777" w:rsidR="00431C8B" w:rsidRDefault="00431C8B" w:rsidP="00057ED7">
      <w:pPr>
        <w:pStyle w:val="Heading2"/>
      </w:pPr>
      <w:bookmarkStart w:id="2" w:name="_Toc520854250"/>
      <w:r>
        <w:t>Overview of GEAR UP Grants</w:t>
      </w:r>
      <w:bookmarkEnd w:id="2"/>
    </w:p>
    <w:p w14:paraId="44A38F5A" w14:textId="77777777" w:rsidR="00431C8B" w:rsidRDefault="00431C8B" w:rsidP="00431C8B"/>
    <w:p w14:paraId="51BF4D0E" w14:textId="0262CD63" w:rsidR="00431C8B" w:rsidRDefault="00431C8B" w:rsidP="00431C8B">
      <w:r>
        <w:t>GEAR UP is a federal discretionary grant program designed to increase the number of low-income students who are prepared to enter and succeed in post-secondary education. GEAR UP awards are granted to states to:</w:t>
      </w:r>
    </w:p>
    <w:p w14:paraId="32FBF85D" w14:textId="77777777" w:rsidR="00431C8B" w:rsidRDefault="00431C8B" w:rsidP="00431C8B">
      <w:pPr>
        <w:ind w:left="720"/>
      </w:pPr>
    </w:p>
    <w:p w14:paraId="0773DF4E" w14:textId="77777777" w:rsidR="00431C8B" w:rsidRDefault="00431C8B" w:rsidP="00431C8B">
      <w:pPr>
        <w:pStyle w:val="ListParagraph"/>
        <w:numPr>
          <w:ilvl w:val="0"/>
          <w:numId w:val="2"/>
        </w:numPr>
      </w:pPr>
      <w:r>
        <w:t>Increase the academic performance and preparation for postsecondary education of participating students;</w:t>
      </w:r>
    </w:p>
    <w:p w14:paraId="034A6CCF" w14:textId="77777777" w:rsidR="00431C8B" w:rsidRDefault="00431C8B" w:rsidP="00431C8B">
      <w:pPr>
        <w:pStyle w:val="ListParagraph"/>
      </w:pPr>
    </w:p>
    <w:p w14:paraId="593D00E3" w14:textId="77777777" w:rsidR="00431C8B" w:rsidRDefault="00431C8B" w:rsidP="00431C8B">
      <w:pPr>
        <w:pStyle w:val="ListParagraph"/>
        <w:numPr>
          <w:ilvl w:val="0"/>
          <w:numId w:val="2"/>
        </w:numPr>
      </w:pPr>
      <w:r>
        <w:t>Increase the rate of high school graduation and participation in postsecondary education or participating students; and</w:t>
      </w:r>
    </w:p>
    <w:p w14:paraId="1457ED72" w14:textId="77777777" w:rsidR="00431C8B" w:rsidRDefault="00431C8B" w:rsidP="00431C8B">
      <w:pPr>
        <w:pStyle w:val="ListParagraph"/>
      </w:pPr>
    </w:p>
    <w:p w14:paraId="0C3CE4E4" w14:textId="77777777" w:rsidR="00431C8B" w:rsidRDefault="00431C8B" w:rsidP="00431C8B">
      <w:pPr>
        <w:pStyle w:val="ListParagraph"/>
        <w:numPr>
          <w:ilvl w:val="0"/>
          <w:numId w:val="2"/>
        </w:numPr>
      </w:pPr>
      <w:r>
        <w:t>Increase the educational expectations for participating students and family knowledge of postsecondary education options, preparation and financing.</w:t>
      </w:r>
    </w:p>
    <w:p w14:paraId="1725B454" w14:textId="77777777" w:rsidR="00431C8B" w:rsidRDefault="00431C8B" w:rsidP="00431C8B">
      <w:pPr>
        <w:ind w:left="720"/>
      </w:pPr>
    </w:p>
    <w:p w14:paraId="1C83C885" w14:textId="77777777" w:rsidR="00431C8B" w:rsidRDefault="00431C8B" w:rsidP="00431C8B">
      <w:r>
        <w:t>In 2017, the US Department of Education awarded the TEA with a grant (Texas GU) to advance the objectives listed above. The TEA, in turn, will award two types of grantees:</w:t>
      </w:r>
    </w:p>
    <w:p w14:paraId="06B04D2B" w14:textId="77777777" w:rsidR="00431C8B" w:rsidRDefault="00431C8B" w:rsidP="00431C8B">
      <w:pPr>
        <w:ind w:left="720"/>
      </w:pPr>
    </w:p>
    <w:p w14:paraId="348D1C99" w14:textId="77777777" w:rsidR="00431C8B" w:rsidRDefault="00431C8B" w:rsidP="00431C8B">
      <w:pPr>
        <w:pStyle w:val="ListParagraph"/>
        <w:numPr>
          <w:ilvl w:val="0"/>
          <w:numId w:val="24"/>
        </w:numPr>
      </w:pPr>
      <w:r>
        <w:t>Local Education Agency (LEA) Grantees</w:t>
      </w:r>
      <w:r>
        <w:br/>
        <w:t>TEA will select feeder patterns (combinations of middle school and high school campuses) at 6-10 districts to receive Texas GU funding. These campuses will serve approximately 2,500 students.</w:t>
      </w:r>
    </w:p>
    <w:p w14:paraId="248EF958" w14:textId="77777777" w:rsidR="00431C8B" w:rsidRDefault="00431C8B" w:rsidP="00431C8B">
      <w:pPr>
        <w:pStyle w:val="ListParagraph"/>
      </w:pPr>
    </w:p>
    <w:p w14:paraId="1C005DB1" w14:textId="77777777" w:rsidR="00431C8B" w:rsidRDefault="00431C8B" w:rsidP="00431C8B">
      <w:pPr>
        <w:pStyle w:val="ListParagraph"/>
        <w:numPr>
          <w:ilvl w:val="0"/>
          <w:numId w:val="24"/>
        </w:numPr>
      </w:pPr>
      <w:r>
        <w:t>Technical Assistance Grantees</w:t>
      </w:r>
      <w:r>
        <w:br/>
        <w:t>This request for Letters of Interest (LOIs) will result in the selection of ESCs, IHEs, or non-profit grantees who will build instructional and performance management competencies at LEA grantee sites.</w:t>
      </w:r>
    </w:p>
    <w:p w14:paraId="55171608" w14:textId="77777777" w:rsidR="00431C8B" w:rsidRDefault="00431C8B" w:rsidP="00431C8B"/>
    <w:p w14:paraId="71B51CBA" w14:textId="77777777" w:rsidR="00431C8B" w:rsidRDefault="00431C8B" w:rsidP="00057ED7">
      <w:pPr>
        <w:pStyle w:val="Heading2"/>
      </w:pPr>
      <w:bookmarkStart w:id="3" w:name="_Toc520854251"/>
      <w:r>
        <w:t>Local Education Agency Grantees</w:t>
      </w:r>
      <w:bookmarkEnd w:id="3"/>
    </w:p>
    <w:p w14:paraId="4C1BF405" w14:textId="77777777" w:rsidR="00431C8B" w:rsidRDefault="00431C8B" w:rsidP="00431C8B"/>
    <w:p w14:paraId="676D45BF" w14:textId="77777777" w:rsidR="00431C8B" w:rsidRDefault="00431C8B" w:rsidP="00431C8B">
      <w:r>
        <w:t>LEA grantees will apply a pilot-and-iterate framework to key GU initiatives to ensure improvement throughout the lifetime of the grant, inform sustainability planning, and lay the groundwork for scale across Texas. LEA grantees will support economically disadvantaged students achieve GEAR UP objectives through five primary strategies:</w:t>
      </w:r>
    </w:p>
    <w:p w14:paraId="661999BC" w14:textId="77777777" w:rsidR="00431C8B" w:rsidRDefault="00431C8B" w:rsidP="00431C8B">
      <w:pPr>
        <w:ind w:left="720"/>
      </w:pPr>
    </w:p>
    <w:p w14:paraId="00D91C8E" w14:textId="77777777" w:rsidR="00D05BF3" w:rsidRPr="00372F02" w:rsidRDefault="00D05BF3" w:rsidP="00D05BF3">
      <w:pPr>
        <w:numPr>
          <w:ilvl w:val="0"/>
          <w:numId w:val="30"/>
        </w:numPr>
        <w:spacing w:after="120"/>
      </w:pPr>
      <w:r w:rsidRPr="00372F02">
        <w:rPr>
          <w:b/>
        </w:rPr>
        <w:t>Strategy 1:</w:t>
      </w:r>
      <w:r w:rsidRPr="00372F02">
        <w:t xml:space="preserve"> </w:t>
      </w:r>
      <w:r w:rsidRPr="00372F02">
        <w:rPr>
          <w:b/>
        </w:rPr>
        <w:t>Increase Academic Rigor</w:t>
      </w:r>
      <w:r w:rsidRPr="00372F02">
        <w:t xml:space="preserve"> - Facilitate an increase in access to, perceived value of, and student success in academically rigorous courses through extensive professional development for teachers, counselors, and administrators, and targeted tutoring for students.</w:t>
      </w:r>
    </w:p>
    <w:p w14:paraId="24292797" w14:textId="77777777" w:rsidR="00D05BF3" w:rsidRPr="00372F02" w:rsidRDefault="00D05BF3" w:rsidP="00D05BF3">
      <w:pPr>
        <w:numPr>
          <w:ilvl w:val="0"/>
          <w:numId w:val="30"/>
        </w:numPr>
        <w:spacing w:after="120"/>
      </w:pPr>
      <w:r w:rsidRPr="00372F02">
        <w:rPr>
          <w:b/>
        </w:rPr>
        <w:t>Strategy 2:</w:t>
      </w:r>
      <w:r w:rsidRPr="00372F02">
        <w:t xml:space="preserve"> </w:t>
      </w:r>
      <w:r w:rsidRPr="00372F02">
        <w:rPr>
          <w:b/>
        </w:rPr>
        <w:t>Prepare Middle School Students</w:t>
      </w:r>
      <w:r w:rsidRPr="00372F02">
        <w:t xml:space="preserve"> - Empower students with pathway information early on th</w:t>
      </w:r>
      <w:r>
        <w:t>r</w:t>
      </w:r>
      <w:r w:rsidRPr="00372F02">
        <w:t>ough individualized college and career advising in middle school and adoption of a high-quality, TEKS-aligned career exploration course.</w:t>
      </w:r>
    </w:p>
    <w:p w14:paraId="59E08194" w14:textId="77777777" w:rsidR="00D05BF3" w:rsidRPr="00372F02" w:rsidRDefault="00D05BF3" w:rsidP="00D05BF3">
      <w:pPr>
        <w:numPr>
          <w:ilvl w:val="0"/>
          <w:numId w:val="30"/>
        </w:numPr>
        <w:spacing w:after="120"/>
      </w:pPr>
      <w:r w:rsidRPr="00372F02">
        <w:rPr>
          <w:b/>
        </w:rPr>
        <w:t>Strategy 3:</w:t>
      </w:r>
      <w:r w:rsidRPr="00372F02">
        <w:t xml:space="preserve"> </w:t>
      </w:r>
      <w:r w:rsidRPr="00372F02">
        <w:rPr>
          <w:b/>
        </w:rPr>
        <w:t>Expand College and Career Advising and Resources for High School Students</w:t>
      </w:r>
      <w:r w:rsidRPr="00372F02">
        <w:t xml:space="preserve"> - Mitigate the effects of high student-to-counselor ratios and provide robust, individualized college and career advising through the adoption of a Near Peer Advising model in GEAR UP high schools.</w:t>
      </w:r>
    </w:p>
    <w:p w14:paraId="14D7F92D" w14:textId="77777777" w:rsidR="00D05BF3" w:rsidRPr="00372F02" w:rsidRDefault="00D05BF3" w:rsidP="00D05BF3">
      <w:pPr>
        <w:numPr>
          <w:ilvl w:val="0"/>
          <w:numId w:val="30"/>
        </w:numPr>
        <w:spacing w:after="120"/>
      </w:pPr>
      <w:r w:rsidRPr="00372F02">
        <w:rPr>
          <w:b/>
        </w:rPr>
        <w:lastRenderedPageBreak/>
        <w:t>Strategy 4:</w:t>
      </w:r>
      <w:r w:rsidRPr="00372F02">
        <w:t xml:space="preserve"> </w:t>
      </w:r>
      <w:r w:rsidRPr="00372F02">
        <w:rPr>
          <w:b/>
        </w:rPr>
        <w:t>Leverage Technology</w:t>
      </w:r>
      <w:r w:rsidRPr="00372F02">
        <w:t xml:space="preserve"> - Expand advisor capacity and amplify high-quality resources through the adoption of targeted, user-centered technology tools for advisors, counselors, administrators, students and parents.</w:t>
      </w:r>
    </w:p>
    <w:p w14:paraId="3C7EEC72" w14:textId="77777777" w:rsidR="00D05BF3" w:rsidRPr="00372F02" w:rsidRDefault="00D05BF3" w:rsidP="00D05BF3">
      <w:pPr>
        <w:numPr>
          <w:ilvl w:val="0"/>
          <w:numId w:val="30"/>
        </w:numPr>
        <w:spacing w:after="120"/>
      </w:pPr>
      <w:r w:rsidRPr="00372F02">
        <w:rPr>
          <w:b/>
        </w:rPr>
        <w:t>Strategy 5</w:t>
      </w:r>
      <w:r w:rsidRPr="00372F02">
        <w:t xml:space="preserve">: </w:t>
      </w:r>
      <w:r w:rsidRPr="00372F02">
        <w:rPr>
          <w:b/>
        </w:rPr>
        <w:t>Develop Local Alliances</w:t>
      </w:r>
      <w:r w:rsidRPr="00372F02">
        <w:t xml:space="preserve"> – Establish or expand existing alliances with business, higher education, and community partners that support student achievement and offer opportunities for career exploration.</w:t>
      </w:r>
    </w:p>
    <w:p w14:paraId="3CE7DA44" w14:textId="77777777" w:rsidR="00431C8B" w:rsidRDefault="00431C8B" w:rsidP="00431C8B">
      <w:pPr>
        <w:ind w:left="720"/>
      </w:pPr>
    </w:p>
    <w:p w14:paraId="62E73986" w14:textId="7BD6B235" w:rsidR="00431C8B" w:rsidRDefault="00431C8B" w:rsidP="00431C8B">
      <w:r>
        <w:t xml:space="preserve">TEA will award campuses at 6-10 Local Education Agencies (LEAs) with grants to launch these strategies at campuses or sets of campuses serving students in 7th through 12th grade. LEA Grant awardees may be selected by </w:t>
      </w:r>
      <w:r w:rsidR="00E14EDB">
        <w:t>August</w:t>
      </w:r>
      <w:r>
        <w:t xml:space="preserve"> of 2018, with GU activities commencing at LEA grantee campuses as early as </w:t>
      </w:r>
      <w:r w:rsidR="00E14EDB">
        <w:t>September</w:t>
      </w:r>
      <w:r>
        <w:t xml:space="preserve"> of 2018.</w:t>
      </w:r>
    </w:p>
    <w:p w14:paraId="0CE1EFAA" w14:textId="685E62CC" w:rsidR="00431C8B" w:rsidRDefault="00431C8B" w:rsidP="00431C8B"/>
    <w:p w14:paraId="0AA55F99" w14:textId="77777777" w:rsidR="00C32F53" w:rsidRDefault="00C32F53" w:rsidP="00057ED7">
      <w:pPr>
        <w:pStyle w:val="Heading2"/>
      </w:pPr>
      <w:bookmarkStart w:id="4" w:name="_Toc520854252"/>
      <w:r>
        <w:t>Explanation of Student Groups</w:t>
      </w:r>
      <w:bookmarkEnd w:id="4"/>
    </w:p>
    <w:p w14:paraId="0551355F" w14:textId="77777777" w:rsidR="00C32F53" w:rsidRDefault="00C32F53" w:rsidP="00C32F53">
      <w:pPr>
        <w:spacing w:after="160" w:line="259" w:lineRule="auto"/>
        <w:rPr>
          <w:b/>
          <w:u w:val="single"/>
        </w:rPr>
      </w:pPr>
      <w:r>
        <w:br/>
        <w:t xml:space="preserve">GU LEA grantees will serve students in two student groupings: </w:t>
      </w:r>
      <w:proofErr w:type="gramStart"/>
      <w:r>
        <w:t>the</w:t>
      </w:r>
      <w:proofErr w:type="gramEnd"/>
      <w:r>
        <w:t xml:space="preserve"> Cohort Model and the Priority Model. Explanations of these groupings are provided so that applicants can understand the terminology of certain required FOI outcomes.</w:t>
      </w:r>
      <w:r>
        <w:br/>
      </w:r>
      <w:r>
        <w:br/>
        <w:t xml:space="preserve">The Cohort Model targets a grade-specific cohort of students with services as they progress through middle school and high school and into postsecondary education. In this model, the primary cohort is composed of all students beginning in grade 7 in participating schools within a feeder pattern. Throughout the lifetime of the grant, Texas GEAR UP will continue to serve the original seventh grade primary cohort as they proceed to the first year of postsecondary education. </w:t>
      </w:r>
      <w:r>
        <w:br/>
      </w:r>
      <w:r>
        <w:br/>
        <w:t xml:space="preserve">In addition, LEAs will implement a Priority Model. Priority students are defined as students in grades 7-12 who will receive basic GEAR UP services </w:t>
      </w:r>
      <w:proofErr w:type="gramStart"/>
      <w:r>
        <w:t>by virtue of</w:t>
      </w:r>
      <w:proofErr w:type="gramEnd"/>
      <w:r>
        <w:t xml:space="preserve"> attending a GEAR UP campus, both before and after the primary cohort is located at that campus.</w:t>
      </w:r>
    </w:p>
    <w:p w14:paraId="08011CF5" w14:textId="0AAB6782" w:rsidR="007D1DA7" w:rsidRDefault="007D1DA7">
      <w:bookmarkStart w:id="5" w:name="_GoBack"/>
      <w:bookmarkEnd w:id="5"/>
    </w:p>
    <w:sectPr w:rsidR="007D1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2026" w14:textId="77777777" w:rsidR="0089192C" w:rsidRDefault="0089192C" w:rsidP="00C32F53">
      <w:r>
        <w:separator/>
      </w:r>
    </w:p>
  </w:endnote>
  <w:endnote w:type="continuationSeparator" w:id="0">
    <w:p w14:paraId="0475B48F" w14:textId="77777777" w:rsidR="0089192C" w:rsidRDefault="0089192C" w:rsidP="00C3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82341"/>
      <w:docPartObj>
        <w:docPartGallery w:val="Page Numbers (Bottom of Page)"/>
        <w:docPartUnique/>
      </w:docPartObj>
    </w:sdtPr>
    <w:sdtEndPr>
      <w:rPr>
        <w:noProof/>
      </w:rPr>
    </w:sdtEndPr>
    <w:sdtContent>
      <w:p w14:paraId="219BB734" w14:textId="6A3E42ED" w:rsidR="00321808" w:rsidRDefault="00321808" w:rsidP="00C32F5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E222" w14:textId="77777777" w:rsidR="0089192C" w:rsidRDefault="0089192C" w:rsidP="00C32F53">
      <w:r>
        <w:separator/>
      </w:r>
    </w:p>
  </w:footnote>
  <w:footnote w:type="continuationSeparator" w:id="0">
    <w:p w14:paraId="5723C5BB" w14:textId="77777777" w:rsidR="0089192C" w:rsidRDefault="0089192C" w:rsidP="00C3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6A9"/>
    <w:multiLevelType w:val="hybridMultilevel"/>
    <w:tmpl w:val="B25605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743B0"/>
    <w:multiLevelType w:val="hybridMultilevel"/>
    <w:tmpl w:val="FFC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877AA"/>
    <w:multiLevelType w:val="hybridMultilevel"/>
    <w:tmpl w:val="E7EE2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3971B1"/>
    <w:multiLevelType w:val="hybridMultilevel"/>
    <w:tmpl w:val="AAF039FE"/>
    <w:lvl w:ilvl="0" w:tplc="5AAAC1EE">
      <w:start w:val="1"/>
      <w:numFmt w:val="bullet"/>
      <w:lvlText w:val=""/>
      <w:lvlJc w:val="left"/>
      <w:pPr>
        <w:ind w:left="720" w:hanging="360"/>
      </w:pPr>
      <w:rPr>
        <w:rFonts w:ascii="Symbol" w:hAnsi="Symbol" w:hint="default"/>
      </w:rPr>
    </w:lvl>
    <w:lvl w:ilvl="1" w:tplc="770EB58E">
      <w:start w:val="1"/>
      <w:numFmt w:val="bullet"/>
      <w:lvlText w:val="o"/>
      <w:lvlJc w:val="left"/>
      <w:pPr>
        <w:ind w:left="1440" w:hanging="360"/>
      </w:pPr>
      <w:rPr>
        <w:rFonts w:ascii="Courier New" w:hAnsi="Courier New" w:cs="Courier New" w:hint="default"/>
      </w:rPr>
    </w:lvl>
    <w:lvl w:ilvl="2" w:tplc="B64AB1BC">
      <w:start w:val="1"/>
      <w:numFmt w:val="bullet"/>
      <w:lvlText w:val=""/>
      <w:lvlJc w:val="left"/>
      <w:pPr>
        <w:ind w:left="2160" w:hanging="360"/>
      </w:pPr>
      <w:rPr>
        <w:rFonts w:ascii="Wingdings" w:hAnsi="Wingdings" w:hint="default"/>
      </w:rPr>
    </w:lvl>
    <w:lvl w:ilvl="3" w:tplc="199247D2">
      <w:start w:val="1"/>
      <w:numFmt w:val="bullet"/>
      <w:lvlText w:val=""/>
      <w:lvlJc w:val="left"/>
      <w:pPr>
        <w:ind w:left="2880" w:hanging="360"/>
      </w:pPr>
      <w:rPr>
        <w:rFonts w:ascii="Symbol" w:hAnsi="Symbol" w:hint="default"/>
      </w:rPr>
    </w:lvl>
    <w:lvl w:ilvl="4" w:tplc="CCEAB250">
      <w:start w:val="1"/>
      <w:numFmt w:val="bullet"/>
      <w:lvlText w:val="o"/>
      <w:lvlJc w:val="left"/>
      <w:pPr>
        <w:ind w:left="3600" w:hanging="360"/>
      </w:pPr>
      <w:rPr>
        <w:rFonts w:ascii="Courier New" w:hAnsi="Courier New" w:cs="Courier New" w:hint="default"/>
      </w:rPr>
    </w:lvl>
    <w:lvl w:ilvl="5" w:tplc="43FA2356">
      <w:start w:val="1"/>
      <w:numFmt w:val="bullet"/>
      <w:lvlText w:val=""/>
      <w:lvlJc w:val="left"/>
      <w:pPr>
        <w:ind w:left="4320" w:hanging="360"/>
      </w:pPr>
      <w:rPr>
        <w:rFonts w:ascii="Wingdings" w:hAnsi="Wingdings" w:hint="default"/>
      </w:rPr>
    </w:lvl>
    <w:lvl w:ilvl="6" w:tplc="04BA9992">
      <w:start w:val="1"/>
      <w:numFmt w:val="bullet"/>
      <w:lvlText w:val=""/>
      <w:lvlJc w:val="left"/>
      <w:pPr>
        <w:ind w:left="5040" w:hanging="360"/>
      </w:pPr>
      <w:rPr>
        <w:rFonts w:ascii="Symbol" w:hAnsi="Symbol" w:hint="default"/>
      </w:rPr>
    </w:lvl>
    <w:lvl w:ilvl="7" w:tplc="FF1C5F58">
      <w:start w:val="1"/>
      <w:numFmt w:val="bullet"/>
      <w:lvlText w:val="o"/>
      <w:lvlJc w:val="left"/>
      <w:pPr>
        <w:ind w:left="5760" w:hanging="360"/>
      </w:pPr>
      <w:rPr>
        <w:rFonts w:ascii="Courier New" w:hAnsi="Courier New" w:cs="Courier New" w:hint="default"/>
      </w:rPr>
    </w:lvl>
    <w:lvl w:ilvl="8" w:tplc="3EB4D25E">
      <w:start w:val="1"/>
      <w:numFmt w:val="bullet"/>
      <w:lvlText w:val=""/>
      <w:lvlJc w:val="left"/>
      <w:pPr>
        <w:ind w:left="6480" w:hanging="360"/>
      </w:pPr>
      <w:rPr>
        <w:rFonts w:ascii="Wingdings" w:hAnsi="Wingdings" w:hint="default"/>
      </w:rPr>
    </w:lvl>
  </w:abstractNum>
  <w:abstractNum w:abstractNumId="4" w15:restartNumberingAfterBreak="0">
    <w:nsid w:val="1BE66F39"/>
    <w:multiLevelType w:val="hybridMultilevel"/>
    <w:tmpl w:val="E3420EBE"/>
    <w:lvl w:ilvl="0" w:tplc="484CF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1728F"/>
    <w:multiLevelType w:val="hybridMultilevel"/>
    <w:tmpl w:val="4F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134"/>
    <w:multiLevelType w:val="hybridMultilevel"/>
    <w:tmpl w:val="9C7EFA20"/>
    <w:lvl w:ilvl="0" w:tplc="DA1E6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B58D6"/>
    <w:multiLevelType w:val="hybridMultilevel"/>
    <w:tmpl w:val="CF3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757B"/>
    <w:multiLevelType w:val="multilevel"/>
    <w:tmpl w:val="A1721512"/>
    <w:lvl w:ilvl="0">
      <w:start w:val="1"/>
      <w:numFmt w:val="bullet"/>
      <w:lvlText w:val=""/>
      <w:lvlJc w:val="left"/>
      <w:pPr>
        <w:ind w:left="433" w:hanging="433"/>
      </w:pPr>
      <w:rPr>
        <w:rFonts w:ascii="Symbol" w:hAnsi="Symbol" w:hint="default"/>
        <w:b/>
        <w:sz w:val="20"/>
        <w:szCs w:val="20"/>
        <w:lang w:val="en-US" w:eastAsia="en-US" w:bidi="en-US"/>
      </w:rPr>
    </w:lvl>
    <w:lvl w:ilvl="1">
      <w:start w:val="1"/>
      <w:numFmt w:val="decimal"/>
      <w:lvlText w:val="%1.%2"/>
      <w:lvlJc w:val="left"/>
      <w:pPr>
        <w:ind w:left="433" w:hanging="433"/>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80" w:hanging="648"/>
      </w:pPr>
      <w:rPr>
        <w:rFonts w:ascii="Arial" w:eastAsia="Arial" w:hAnsi="Arial" w:cs="Arial" w:hint="default"/>
        <w:b/>
        <w:bCs/>
        <w:spacing w:val="-1"/>
        <w:w w:val="99"/>
        <w:sz w:val="20"/>
        <w:szCs w:val="20"/>
        <w:lang w:val="en-US" w:eastAsia="en-US" w:bidi="en-US"/>
      </w:rPr>
    </w:lvl>
    <w:lvl w:ilvl="3">
      <w:start w:val="1"/>
      <w:numFmt w:val="bullet"/>
      <w:lvlText w:val=""/>
      <w:lvlJc w:val="left"/>
      <w:pPr>
        <w:ind w:left="2072" w:hanging="900"/>
      </w:pPr>
      <w:rPr>
        <w:rFonts w:ascii="Symbol" w:hAnsi="Symbol" w:hint="default"/>
        <w:spacing w:val="-1"/>
        <w:w w:val="99"/>
        <w:sz w:val="20"/>
        <w:szCs w:val="20"/>
        <w:lang w:val="en-US" w:eastAsia="en-US" w:bidi="en-US"/>
      </w:rPr>
    </w:lvl>
    <w:lvl w:ilvl="4">
      <w:start w:val="1"/>
      <w:numFmt w:val="decimal"/>
      <w:lvlText w:val="%5."/>
      <w:lvlJc w:val="left"/>
      <w:pPr>
        <w:ind w:left="2881" w:hanging="809"/>
      </w:pPr>
      <w:rPr>
        <w:rFonts w:hint="default"/>
        <w:spacing w:val="-1"/>
        <w:w w:val="99"/>
        <w:sz w:val="20"/>
        <w:szCs w:val="20"/>
        <w:lang w:val="en-US" w:eastAsia="en-US" w:bidi="en-US"/>
      </w:rPr>
    </w:lvl>
    <w:lvl w:ilvl="5">
      <w:numFmt w:val="bullet"/>
      <w:lvlText w:val="•"/>
      <w:lvlJc w:val="left"/>
      <w:pPr>
        <w:ind w:left="5178" w:hanging="809"/>
      </w:pPr>
      <w:rPr>
        <w:rFonts w:hint="default"/>
        <w:lang w:val="en-US" w:eastAsia="en-US" w:bidi="en-US"/>
      </w:rPr>
    </w:lvl>
    <w:lvl w:ilvl="6">
      <w:numFmt w:val="bullet"/>
      <w:lvlText w:val="•"/>
      <w:lvlJc w:val="left"/>
      <w:pPr>
        <w:ind w:left="6326" w:hanging="809"/>
      </w:pPr>
      <w:rPr>
        <w:rFonts w:hint="default"/>
        <w:lang w:val="en-US" w:eastAsia="en-US" w:bidi="en-US"/>
      </w:rPr>
    </w:lvl>
    <w:lvl w:ilvl="7">
      <w:numFmt w:val="bullet"/>
      <w:lvlText w:val="•"/>
      <w:lvlJc w:val="left"/>
      <w:pPr>
        <w:ind w:left="7475" w:hanging="809"/>
      </w:pPr>
      <w:rPr>
        <w:rFonts w:hint="default"/>
        <w:lang w:val="en-US" w:eastAsia="en-US" w:bidi="en-US"/>
      </w:rPr>
    </w:lvl>
    <w:lvl w:ilvl="8">
      <w:numFmt w:val="bullet"/>
      <w:lvlText w:val="•"/>
      <w:lvlJc w:val="left"/>
      <w:pPr>
        <w:ind w:left="8623" w:hanging="809"/>
      </w:pPr>
      <w:rPr>
        <w:rFonts w:hint="default"/>
        <w:lang w:val="en-US" w:eastAsia="en-US" w:bidi="en-US"/>
      </w:rPr>
    </w:lvl>
  </w:abstractNum>
  <w:abstractNum w:abstractNumId="9" w15:restartNumberingAfterBreak="0">
    <w:nsid w:val="315C5311"/>
    <w:multiLevelType w:val="multilevel"/>
    <w:tmpl w:val="AF864150"/>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755FFA"/>
    <w:multiLevelType w:val="hybridMultilevel"/>
    <w:tmpl w:val="907675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9C57319"/>
    <w:multiLevelType w:val="hybridMultilevel"/>
    <w:tmpl w:val="99BA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0C00B7"/>
    <w:multiLevelType w:val="hybridMultilevel"/>
    <w:tmpl w:val="42C4E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7E6AB8"/>
    <w:multiLevelType w:val="hybridMultilevel"/>
    <w:tmpl w:val="67743C7A"/>
    <w:lvl w:ilvl="0" w:tplc="04090001">
      <w:start w:val="1"/>
      <w:numFmt w:val="bullet"/>
      <w:lvlText w:val=""/>
      <w:lvlJc w:val="left"/>
      <w:pPr>
        <w:ind w:left="720" w:hanging="360"/>
      </w:pPr>
      <w:rPr>
        <w:rFonts w:ascii="Symbol" w:hAnsi="Symbol" w:hint="default"/>
      </w:rPr>
    </w:lvl>
    <w:lvl w:ilvl="1" w:tplc="E1286482">
      <w:start w:val="1"/>
      <w:numFmt w:val="bullet"/>
      <w:lvlText w:val="•"/>
      <w:lvlJc w:val="left"/>
      <w:pPr>
        <w:ind w:left="1800" w:hanging="720"/>
      </w:pPr>
      <w:rPr>
        <w:rFonts w:ascii="Calibri" w:eastAsiaTheme="minorHAnsi" w:hAnsi="Calibri" w:cstheme="minorBidi" w:hint="default"/>
      </w:rPr>
    </w:lvl>
    <w:lvl w:ilvl="2" w:tplc="6F9E672A">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9EA"/>
    <w:multiLevelType w:val="hybridMultilevel"/>
    <w:tmpl w:val="4B06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111C"/>
    <w:multiLevelType w:val="hybridMultilevel"/>
    <w:tmpl w:val="2F14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544B"/>
    <w:multiLevelType w:val="multilevel"/>
    <w:tmpl w:val="15ACD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72D"/>
    <w:multiLevelType w:val="hybridMultilevel"/>
    <w:tmpl w:val="A71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72E"/>
    <w:multiLevelType w:val="hybridMultilevel"/>
    <w:tmpl w:val="CEAE65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252F9"/>
    <w:multiLevelType w:val="multilevel"/>
    <w:tmpl w:val="AF864150"/>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4C1E84"/>
    <w:multiLevelType w:val="hybridMultilevel"/>
    <w:tmpl w:val="A976A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3ED5"/>
    <w:multiLevelType w:val="hybridMultilevel"/>
    <w:tmpl w:val="750836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5171E"/>
    <w:multiLevelType w:val="hybridMultilevel"/>
    <w:tmpl w:val="0DE6B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712E9"/>
    <w:multiLevelType w:val="hybridMultilevel"/>
    <w:tmpl w:val="744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91398"/>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846C35"/>
    <w:multiLevelType w:val="hybridMultilevel"/>
    <w:tmpl w:val="0F2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3649D"/>
    <w:multiLevelType w:val="hybridMultilevel"/>
    <w:tmpl w:val="B44445A0"/>
    <w:lvl w:ilvl="0" w:tplc="6F4A0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F0C1E"/>
    <w:multiLevelType w:val="hybridMultilevel"/>
    <w:tmpl w:val="0CD6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3E0011"/>
    <w:multiLevelType w:val="hybridMultilevel"/>
    <w:tmpl w:val="61C2C9D2"/>
    <w:lvl w:ilvl="0" w:tplc="20A85662">
      <w:start w:val="21"/>
      <w:numFmt w:val="upperLetter"/>
      <w:lvlText w:val="%1."/>
      <w:lvlJc w:val="left"/>
      <w:pPr>
        <w:ind w:left="360" w:hanging="360"/>
      </w:pPr>
      <w:rPr>
        <w:rFonts w:cs="Times New Roman" w:hint="default"/>
        <w:color w:val="auto"/>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7CD001C0"/>
    <w:multiLevelType w:val="hybridMultilevel"/>
    <w:tmpl w:val="B156D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5"/>
  </w:num>
  <w:num w:numId="4">
    <w:abstractNumId w:val="24"/>
  </w:num>
  <w:num w:numId="5">
    <w:abstractNumId w:val="19"/>
  </w:num>
  <w:num w:numId="6">
    <w:abstractNumId w:val="0"/>
  </w:num>
  <w:num w:numId="7">
    <w:abstractNumId w:val="12"/>
  </w:num>
  <w:num w:numId="8">
    <w:abstractNumId w:val="2"/>
  </w:num>
  <w:num w:numId="9">
    <w:abstractNumId w:val="15"/>
  </w:num>
  <w:num w:numId="10">
    <w:abstractNumId w:val="23"/>
  </w:num>
  <w:num w:numId="11">
    <w:abstractNumId w:val="7"/>
  </w:num>
  <w:num w:numId="12">
    <w:abstractNumId w:val="6"/>
  </w:num>
  <w:num w:numId="13">
    <w:abstractNumId w:val="17"/>
  </w:num>
  <w:num w:numId="14">
    <w:abstractNumId w:val="8"/>
  </w:num>
  <w:num w:numId="15">
    <w:abstractNumId w:val="11"/>
  </w:num>
  <w:num w:numId="16">
    <w:abstractNumId w:val="1"/>
  </w:num>
  <w:num w:numId="17">
    <w:abstractNumId w:val="27"/>
  </w:num>
  <w:num w:numId="18">
    <w:abstractNumId w:val="14"/>
  </w:num>
  <w:num w:numId="19">
    <w:abstractNumId w:val="29"/>
  </w:num>
  <w:num w:numId="20">
    <w:abstractNumId w:val="22"/>
  </w:num>
  <w:num w:numId="21">
    <w:abstractNumId w:val="20"/>
  </w:num>
  <w:num w:numId="22">
    <w:abstractNumId w:val="28"/>
  </w:num>
  <w:num w:numId="23">
    <w:abstractNumId w:val="16"/>
  </w:num>
  <w:num w:numId="24">
    <w:abstractNumId w:val="5"/>
  </w:num>
  <w:num w:numId="25">
    <w:abstractNumId w:val="18"/>
  </w:num>
  <w:num w:numId="26">
    <w:abstractNumId w:val="10"/>
  </w:num>
  <w:num w:numId="27">
    <w:abstractNumId w:val="21"/>
  </w:num>
  <w:num w:numId="28">
    <w:abstractNumId w:val="9"/>
  </w:num>
  <w:num w:numId="29">
    <w:abstractNumId w:val="3"/>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B1"/>
    <w:rsid w:val="000017F7"/>
    <w:rsid w:val="00007111"/>
    <w:rsid w:val="00007A96"/>
    <w:rsid w:val="000114AE"/>
    <w:rsid w:val="000130DB"/>
    <w:rsid w:val="00020EC2"/>
    <w:rsid w:val="00033258"/>
    <w:rsid w:val="00037222"/>
    <w:rsid w:val="0003778D"/>
    <w:rsid w:val="00044108"/>
    <w:rsid w:val="000509E1"/>
    <w:rsid w:val="00057ED7"/>
    <w:rsid w:val="00061C44"/>
    <w:rsid w:val="000720F4"/>
    <w:rsid w:val="00077AB8"/>
    <w:rsid w:val="00077DEA"/>
    <w:rsid w:val="00093248"/>
    <w:rsid w:val="000B0C65"/>
    <w:rsid w:val="000B3583"/>
    <w:rsid w:val="000B72D8"/>
    <w:rsid w:val="000C1133"/>
    <w:rsid w:val="000C1FA9"/>
    <w:rsid w:val="000C2D65"/>
    <w:rsid w:val="000C3B75"/>
    <w:rsid w:val="000C405C"/>
    <w:rsid w:val="000C7E84"/>
    <w:rsid w:val="000D01AD"/>
    <w:rsid w:val="000D229B"/>
    <w:rsid w:val="000D277B"/>
    <w:rsid w:val="000E0987"/>
    <w:rsid w:val="000E5624"/>
    <w:rsid w:val="000F087E"/>
    <w:rsid w:val="000F5930"/>
    <w:rsid w:val="00101BC9"/>
    <w:rsid w:val="00106D06"/>
    <w:rsid w:val="00114FFE"/>
    <w:rsid w:val="00117FBA"/>
    <w:rsid w:val="00124860"/>
    <w:rsid w:val="00124F3C"/>
    <w:rsid w:val="00125F72"/>
    <w:rsid w:val="0012739A"/>
    <w:rsid w:val="00137839"/>
    <w:rsid w:val="00143FFE"/>
    <w:rsid w:val="00144AA1"/>
    <w:rsid w:val="00145AF5"/>
    <w:rsid w:val="00153DED"/>
    <w:rsid w:val="001704E4"/>
    <w:rsid w:val="00171158"/>
    <w:rsid w:val="00172575"/>
    <w:rsid w:val="00175DB5"/>
    <w:rsid w:val="00177BE8"/>
    <w:rsid w:val="0018209D"/>
    <w:rsid w:val="00193D97"/>
    <w:rsid w:val="00194130"/>
    <w:rsid w:val="00194B44"/>
    <w:rsid w:val="001971B6"/>
    <w:rsid w:val="001978AE"/>
    <w:rsid w:val="001A3A37"/>
    <w:rsid w:val="001B31C6"/>
    <w:rsid w:val="001B38C1"/>
    <w:rsid w:val="001B3B12"/>
    <w:rsid w:val="001C149B"/>
    <w:rsid w:val="001C519D"/>
    <w:rsid w:val="001D60E3"/>
    <w:rsid w:val="001D668E"/>
    <w:rsid w:val="001E1CED"/>
    <w:rsid w:val="001E30DF"/>
    <w:rsid w:val="001E38DB"/>
    <w:rsid w:val="001F4EFB"/>
    <w:rsid w:val="001F5379"/>
    <w:rsid w:val="001F6858"/>
    <w:rsid w:val="00203596"/>
    <w:rsid w:val="00211BD4"/>
    <w:rsid w:val="00211E87"/>
    <w:rsid w:val="0021735F"/>
    <w:rsid w:val="002202A4"/>
    <w:rsid w:val="002213C4"/>
    <w:rsid w:val="002369A2"/>
    <w:rsid w:val="00250358"/>
    <w:rsid w:val="00254F02"/>
    <w:rsid w:val="00255FB1"/>
    <w:rsid w:val="00262423"/>
    <w:rsid w:val="00264772"/>
    <w:rsid w:val="00266460"/>
    <w:rsid w:val="002769BC"/>
    <w:rsid w:val="00285AFE"/>
    <w:rsid w:val="00293D7E"/>
    <w:rsid w:val="002944A3"/>
    <w:rsid w:val="002A1246"/>
    <w:rsid w:val="002C0089"/>
    <w:rsid w:val="002C5BB6"/>
    <w:rsid w:val="002D1A29"/>
    <w:rsid w:val="002D3BBF"/>
    <w:rsid w:val="002D5BE9"/>
    <w:rsid w:val="002F0A8A"/>
    <w:rsid w:val="00301DFF"/>
    <w:rsid w:val="00303501"/>
    <w:rsid w:val="00311D98"/>
    <w:rsid w:val="00312917"/>
    <w:rsid w:val="00321808"/>
    <w:rsid w:val="00321908"/>
    <w:rsid w:val="00331971"/>
    <w:rsid w:val="00333D9F"/>
    <w:rsid w:val="00344561"/>
    <w:rsid w:val="003449D7"/>
    <w:rsid w:val="00345EC1"/>
    <w:rsid w:val="00353080"/>
    <w:rsid w:val="00355671"/>
    <w:rsid w:val="00360167"/>
    <w:rsid w:val="003611C5"/>
    <w:rsid w:val="0036141A"/>
    <w:rsid w:val="00373A43"/>
    <w:rsid w:val="003836E0"/>
    <w:rsid w:val="00385304"/>
    <w:rsid w:val="003864AF"/>
    <w:rsid w:val="00390A33"/>
    <w:rsid w:val="00393FEA"/>
    <w:rsid w:val="003A3EBF"/>
    <w:rsid w:val="003B640A"/>
    <w:rsid w:val="003D211B"/>
    <w:rsid w:val="003D5F91"/>
    <w:rsid w:val="003D6334"/>
    <w:rsid w:val="003D7294"/>
    <w:rsid w:val="003D76A0"/>
    <w:rsid w:val="003E73A0"/>
    <w:rsid w:val="004016BD"/>
    <w:rsid w:val="004033FA"/>
    <w:rsid w:val="00422580"/>
    <w:rsid w:val="00426349"/>
    <w:rsid w:val="00431C8B"/>
    <w:rsid w:val="00435116"/>
    <w:rsid w:val="00436C0B"/>
    <w:rsid w:val="004420EA"/>
    <w:rsid w:val="004451BE"/>
    <w:rsid w:val="004517C6"/>
    <w:rsid w:val="00463424"/>
    <w:rsid w:val="004672EE"/>
    <w:rsid w:val="00476115"/>
    <w:rsid w:val="00482C9F"/>
    <w:rsid w:val="004856CB"/>
    <w:rsid w:val="00486397"/>
    <w:rsid w:val="004867CB"/>
    <w:rsid w:val="00490BEE"/>
    <w:rsid w:val="004920FF"/>
    <w:rsid w:val="00495DE4"/>
    <w:rsid w:val="004A11A3"/>
    <w:rsid w:val="004A20AD"/>
    <w:rsid w:val="004A3A06"/>
    <w:rsid w:val="004B7A5D"/>
    <w:rsid w:val="004C45DE"/>
    <w:rsid w:val="004C4916"/>
    <w:rsid w:val="004D1CE6"/>
    <w:rsid w:val="004D1EBC"/>
    <w:rsid w:val="004D3876"/>
    <w:rsid w:val="004F50D0"/>
    <w:rsid w:val="004F78BA"/>
    <w:rsid w:val="0050022D"/>
    <w:rsid w:val="00504DAB"/>
    <w:rsid w:val="005100D4"/>
    <w:rsid w:val="00521761"/>
    <w:rsid w:val="005237D0"/>
    <w:rsid w:val="00534BD5"/>
    <w:rsid w:val="00546F1A"/>
    <w:rsid w:val="00550F82"/>
    <w:rsid w:val="0055519E"/>
    <w:rsid w:val="0056187F"/>
    <w:rsid w:val="00587A6B"/>
    <w:rsid w:val="00593E83"/>
    <w:rsid w:val="00594F9B"/>
    <w:rsid w:val="005A631E"/>
    <w:rsid w:val="005B01AA"/>
    <w:rsid w:val="005B3368"/>
    <w:rsid w:val="005C36EA"/>
    <w:rsid w:val="005C74EA"/>
    <w:rsid w:val="005D25C2"/>
    <w:rsid w:val="005E0F60"/>
    <w:rsid w:val="00600CD1"/>
    <w:rsid w:val="00601327"/>
    <w:rsid w:val="00601AC3"/>
    <w:rsid w:val="00607AC2"/>
    <w:rsid w:val="006148F1"/>
    <w:rsid w:val="0062416E"/>
    <w:rsid w:val="00625BE1"/>
    <w:rsid w:val="006314F2"/>
    <w:rsid w:val="00634B64"/>
    <w:rsid w:val="006432D0"/>
    <w:rsid w:val="00644289"/>
    <w:rsid w:val="00644F01"/>
    <w:rsid w:val="006652C6"/>
    <w:rsid w:val="006754A6"/>
    <w:rsid w:val="00687C3B"/>
    <w:rsid w:val="006900B9"/>
    <w:rsid w:val="006948DC"/>
    <w:rsid w:val="00696706"/>
    <w:rsid w:val="00697D7E"/>
    <w:rsid w:val="006A3793"/>
    <w:rsid w:val="006A6EA7"/>
    <w:rsid w:val="006D0D89"/>
    <w:rsid w:val="006D40D9"/>
    <w:rsid w:val="006D5018"/>
    <w:rsid w:val="006D54BC"/>
    <w:rsid w:val="006D7502"/>
    <w:rsid w:val="006E6AEE"/>
    <w:rsid w:val="007039F7"/>
    <w:rsid w:val="007057E6"/>
    <w:rsid w:val="007307C0"/>
    <w:rsid w:val="00733AFA"/>
    <w:rsid w:val="00743D1E"/>
    <w:rsid w:val="007473FA"/>
    <w:rsid w:val="007536E1"/>
    <w:rsid w:val="00754649"/>
    <w:rsid w:val="00757C28"/>
    <w:rsid w:val="00760CC9"/>
    <w:rsid w:val="00760E74"/>
    <w:rsid w:val="007620DA"/>
    <w:rsid w:val="00764E85"/>
    <w:rsid w:val="007725D5"/>
    <w:rsid w:val="0077464D"/>
    <w:rsid w:val="007754A9"/>
    <w:rsid w:val="0077796D"/>
    <w:rsid w:val="00777BD5"/>
    <w:rsid w:val="00783870"/>
    <w:rsid w:val="007847BA"/>
    <w:rsid w:val="00784ACA"/>
    <w:rsid w:val="0079073F"/>
    <w:rsid w:val="00790848"/>
    <w:rsid w:val="00792682"/>
    <w:rsid w:val="007A0D70"/>
    <w:rsid w:val="007A1DC7"/>
    <w:rsid w:val="007B6144"/>
    <w:rsid w:val="007B7444"/>
    <w:rsid w:val="007C38C1"/>
    <w:rsid w:val="007C5BF5"/>
    <w:rsid w:val="007D1DA7"/>
    <w:rsid w:val="007D1E27"/>
    <w:rsid w:val="007D4C23"/>
    <w:rsid w:val="007D7FD7"/>
    <w:rsid w:val="007E2417"/>
    <w:rsid w:val="007E54F7"/>
    <w:rsid w:val="007F3171"/>
    <w:rsid w:val="007F6949"/>
    <w:rsid w:val="007F77BA"/>
    <w:rsid w:val="00805D84"/>
    <w:rsid w:val="00821EE0"/>
    <w:rsid w:val="008229C2"/>
    <w:rsid w:val="0083405C"/>
    <w:rsid w:val="00837739"/>
    <w:rsid w:val="0083777F"/>
    <w:rsid w:val="00846A17"/>
    <w:rsid w:val="00846B6A"/>
    <w:rsid w:val="00850A73"/>
    <w:rsid w:val="00851698"/>
    <w:rsid w:val="00852D01"/>
    <w:rsid w:val="00862AFC"/>
    <w:rsid w:val="008750E9"/>
    <w:rsid w:val="008803BD"/>
    <w:rsid w:val="0088043D"/>
    <w:rsid w:val="00884524"/>
    <w:rsid w:val="0089192C"/>
    <w:rsid w:val="00892F51"/>
    <w:rsid w:val="008938DD"/>
    <w:rsid w:val="00894073"/>
    <w:rsid w:val="00895650"/>
    <w:rsid w:val="008A5B1D"/>
    <w:rsid w:val="008B3A16"/>
    <w:rsid w:val="008B688A"/>
    <w:rsid w:val="008C6F30"/>
    <w:rsid w:val="008C708F"/>
    <w:rsid w:val="008D18EF"/>
    <w:rsid w:val="008D2E47"/>
    <w:rsid w:val="008E1C8A"/>
    <w:rsid w:val="008E55CE"/>
    <w:rsid w:val="008E73C6"/>
    <w:rsid w:val="008E77E6"/>
    <w:rsid w:val="008E7E94"/>
    <w:rsid w:val="008F0AF8"/>
    <w:rsid w:val="008F4941"/>
    <w:rsid w:val="008F5C8B"/>
    <w:rsid w:val="008F602C"/>
    <w:rsid w:val="0090022E"/>
    <w:rsid w:val="009004C9"/>
    <w:rsid w:val="00900604"/>
    <w:rsid w:val="00902E77"/>
    <w:rsid w:val="00912ECF"/>
    <w:rsid w:val="00913A5B"/>
    <w:rsid w:val="00925287"/>
    <w:rsid w:val="00925931"/>
    <w:rsid w:val="00930CDC"/>
    <w:rsid w:val="00930E68"/>
    <w:rsid w:val="009378EC"/>
    <w:rsid w:val="00941B6B"/>
    <w:rsid w:val="00943246"/>
    <w:rsid w:val="009447B7"/>
    <w:rsid w:val="00951388"/>
    <w:rsid w:val="0095497E"/>
    <w:rsid w:val="00966B3E"/>
    <w:rsid w:val="009676DF"/>
    <w:rsid w:val="00967D74"/>
    <w:rsid w:val="009711A6"/>
    <w:rsid w:val="00987334"/>
    <w:rsid w:val="009951B5"/>
    <w:rsid w:val="009A189B"/>
    <w:rsid w:val="009A5006"/>
    <w:rsid w:val="009A56BE"/>
    <w:rsid w:val="009A5FBB"/>
    <w:rsid w:val="009A64B3"/>
    <w:rsid w:val="009C1394"/>
    <w:rsid w:val="009C3040"/>
    <w:rsid w:val="009D5AFC"/>
    <w:rsid w:val="009F7287"/>
    <w:rsid w:val="00A01475"/>
    <w:rsid w:val="00A02B96"/>
    <w:rsid w:val="00A05B65"/>
    <w:rsid w:val="00A1002D"/>
    <w:rsid w:val="00A27189"/>
    <w:rsid w:val="00A30B0B"/>
    <w:rsid w:val="00A30F26"/>
    <w:rsid w:val="00A34FA0"/>
    <w:rsid w:val="00A37019"/>
    <w:rsid w:val="00A4417C"/>
    <w:rsid w:val="00A57EA9"/>
    <w:rsid w:val="00A60147"/>
    <w:rsid w:val="00A60A67"/>
    <w:rsid w:val="00A73E4F"/>
    <w:rsid w:val="00A834E4"/>
    <w:rsid w:val="00A83806"/>
    <w:rsid w:val="00A83838"/>
    <w:rsid w:val="00A850A6"/>
    <w:rsid w:val="00A85BF4"/>
    <w:rsid w:val="00A933FC"/>
    <w:rsid w:val="00A97E29"/>
    <w:rsid w:val="00AA175F"/>
    <w:rsid w:val="00AA232E"/>
    <w:rsid w:val="00AA6111"/>
    <w:rsid w:val="00AB2034"/>
    <w:rsid w:val="00AC6561"/>
    <w:rsid w:val="00AC663F"/>
    <w:rsid w:val="00AD19FD"/>
    <w:rsid w:val="00AD23E1"/>
    <w:rsid w:val="00AE12FD"/>
    <w:rsid w:val="00AF178E"/>
    <w:rsid w:val="00AF3C98"/>
    <w:rsid w:val="00AF4205"/>
    <w:rsid w:val="00AF464A"/>
    <w:rsid w:val="00B0171F"/>
    <w:rsid w:val="00B0197E"/>
    <w:rsid w:val="00B10033"/>
    <w:rsid w:val="00B10FF7"/>
    <w:rsid w:val="00B11A7A"/>
    <w:rsid w:val="00B13EF8"/>
    <w:rsid w:val="00B30C36"/>
    <w:rsid w:val="00B31AAD"/>
    <w:rsid w:val="00B34DD8"/>
    <w:rsid w:val="00B3691B"/>
    <w:rsid w:val="00B418D5"/>
    <w:rsid w:val="00B42C3B"/>
    <w:rsid w:val="00B52985"/>
    <w:rsid w:val="00B56550"/>
    <w:rsid w:val="00B60215"/>
    <w:rsid w:val="00B6212D"/>
    <w:rsid w:val="00B62C50"/>
    <w:rsid w:val="00B66D50"/>
    <w:rsid w:val="00B70682"/>
    <w:rsid w:val="00B745B6"/>
    <w:rsid w:val="00B77A7A"/>
    <w:rsid w:val="00B82C00"/>
    <w:rsid w:val="00B84114"/>
    <w:rsid w:val="00B875A5"/>
    <w:rsid w:val="00B97DEB"/>
    <w:rsid w:val="00BA110D"/>
    <w:rsid w:val="00BA2189"/>
    <w:rsid w:val="00BA54F6"/>
    <w:rsid w:val="00BA6F30"/>
    <w:rsid w:val="00BB53F4"/>
    <w:rsid w:val="00BC3544"/>
    <w:rsid w:val="00BC7970"/>
    <w:rsid w:val="00BC7EE4"/>
    <w:rsid w:val="00BE3236"/>
    <w:rsid w:val="00BE7A61"/>
    <w:rsid w:val="00C1725B"/>
    <w:rsid w:val="00C204EC"/>
    <w:rsid w:val="00C26313"/>
    <w:rsid w:val="00C32F53"/>
    <w:rsid w:val="00C4218B"/>
    <w:rsid w:val="00C47076"/>
    <w:rsid w:val="00C50BF9"/>
    <w:rsid w:val="00C65FC9"/>
    <w:rsid w:val="00C71C19"/>
    <w:rsid w:val="00C725DF"/>
    <w:rsid w:val="00C72D1D"/>
    <w:rsid w:val="00C739C5"/>
    <w:rsid w:val="00C73A61"/>
    <w:rsid w:val="00C8314A"/>
    <w:rsid w:val="00C902AC"/>
    <w:rsid w:val="00CA2605"/>
    <w:rsid w:val="00CB02F9"/>
    <w:rsid w:val="00CB06B9"/>
    <w:rsid w:val="00CB4ABD"/>
    <w:rsid w:val="00CC0894"/>
    <w:rsid w:val="00CC11FA"/>
    <w:rsid w:val="00CC2DB1"/>
    <w:rsid w:val="00CC492F"/>
    <w:rsid w:val="00CC5BCC"/>
    <w:rsid w:val="00CC6B9A"/>
    <w:rsid w:val="00CD30CE"/>
    <w:rsid w:val="00CE1168"/>
    <w:rsid w:val="00D05BF3"/>
    <w:rsid w:val="00D12290"/>
    <w:rsid w:val="00D2375C"/>
    <w:rsid w:val="00D473DF"/>
    <w:rsid w:val="00D518FB"/>
    <w:rsid w:val="00D54270"/>
    <w:rsid w:val="00D66411"/>
    <w:rsid w:val="00D71D27"/>
    <w:rsid w:val="00D72FE1"/>
    <w:rsid w:val="00D74029"/>
    <w:rsid w:val="00D758DA"/>
    <w:rsid w:val="00D83DC8"/>
    <w:rsid w:val="00D975F4"/>
    <w:rsid w:val="00DA277F"/>
    <w:rsid w:val="00DA2B6F"/>
    <w:rsid w:val="00DB0B5B"/>
    <w:rsid w:val="00DB2AE7"/>
    <w:rsid w:val="00DC0528"/>
    <w:rsid w:val="00DC1EDF"/>
    <w:rsid w:val="00DC4CDC"/>
    <w:rsid w:val="00DC6864"/>
    <w:rsid w:val="00DC7FE2"/>
    <w:rsid w:val="00DD0269"/>
    <w:rsid w:val="00DD10BB"/>
    <w:rsid w:val="00DD2349"/>
    <w:rsid w:val="00DE2A7D"/>
    <w:rsid w:val="00DE3967"/>
    <w:rsid w:val="00DE4199"/>
    <w:rsid w:val="00DE50D1"/>
    <w:rsid w:val="00DF633E"/>
    <w:rsid w:val="00E000BC"/>
    <w:rsid w:val="00E01737"/>
    <w:rsid w:val="00E04D0E"/>
    <w:rsid w:val="00E07B35"/>
    <w:rsid w:val="00E11CF6"/>
    <w:rsid w:val="00E1468A"/>
    <w:rsid w:val="00E148DF"/>
    <w:rsid w:val="00E14EDB"/>
    <w:rsid w:val="00E15916"/>
    <w:rsid w:val="00E31774"/>
    <w:rsid w:val="00E331C8"/>
    <w:rsid w:val="00E335B0"/>
    <w:rsid w:val="00E34503"/>
    <w:rsid w:val="00E35622"/>
    <w:rsid w:val="00E35959"/>
    <w:rsid w:val="00E35A1A"/>
    <w:rsid w:val="00E37D59"/>
    <w:rsid w:val="00E56DE1"/>
    <w:rsid w:val="00E61076"/>
    <w:rsid w:val="00E65D01"/>
    <w:rsid w:val="00E727F4"/>
    <w:rsid w:val="00E81C26"/>
    <w:rsid w:val="00E8255A"/>
    <w:rsid w:val="00E9070C"/>
    <w:rsid w:val="00E95D55"/>
    <w:rsid w:val="00EA4A94"/>
    <w:rsid w:val="00EA751E"/>
    <w:rsid w:val="00EA77CE"/>
    <w:rsid w:val="00EB0EA1"/>
    <w:rsid w:val="00EB2E35"/>
    <w:rsid w:val="00EB4235"/>
    <w:rsid w:val="00EC0E9E"/>
    <w:rsid w:val="00EC252C"/>
    <w:rsid w:val="00EC6D77"/>
    <w:rsid w:val="00ED3271"/>
    <w:rsid w:val="00ED4A2F"/>
    <w:rsid w:val="00ED5A70"/>
    <w:rsid w:val="00ED788D"/>
    <w:rsid w:val="00EE348E"/>
    <w:rsid w:val="00EF3F71"/>
    <w:rsid w:val="00F01E7C"/>
    <w:rsid w:val="00F03812"/>
    <w:rsid w:val="00F108EA"/>
    <w:rsid w:val="00F16C6D"/>
    <w:rsid w:val="00F17269"/>
    <w:rsid w:val="00F17A6A"/>
    <w:rsid w:val="00F2090F"/>
    <w:rsid w:val="00F26B39"/>
    <w:rsid w:val="00F34E7D"/>
    <w:rsid w:val="00F3625D"/>
    <w:rsid w:val="00F40E3A"/>
    <w:rsid w:val="00F40EA2"/>
    <w:rsid w:val="00F45C1E"/>
    <w:rsid w:val="00F471E3"/>
    <w:rsid w:val="00F55108"/>
    <w:rsid w:val="00F60220"/>
    <w:rsid w:val="00F61508"/>
    <w:rsid w:val="00F75509"/>
    <w:rsid w:val="00F82110"/>
    <w:rsid w:val="00F91163"/>
    <w:rsid w:val="00F912BE"/>
    <w:rsid w:val="00F93244"/>
    <w:rsid w:val="00F951EF"/>
    <w:rsid w:val="00FA5490"/>
    <w:rsid w:val="00FB44AF"/>
    <w:rsid w:val="00FC0BA0"/>
    <w:rsid w:val="00FC162A"/>
    <w:rsid w:val="00FC5A6A"/>
    <w:rsid w:val="00FC625A"/>
    <w:rsid w:val="00FE0D53"/>
    <w:rsid w:val="00FE0F2E"/>
    <w:rsid w:val="00FE6DE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9C1"/>
  <w15:chartTrackingRefBased/>
  <w15:docId w15:val="{8F0D314C-8C94-4E04-9D2E-8C56516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034"/>
  </w:style>
  <w:style w:type="paragraph" w:styleId="Heading1">
    <w:name w:val="heading 1"/>
    <w:basedOn w:val="Normal"/>
    <w:next w:val="Normal"/>
    <w:link w:val="Heading1Char"/>
    <w:uiPriority w:val="9"/>
    <w:qFormat/>
    <w:rsid w:val="00BC7EE4"/>
    <w:pPr>
      <w:keepNext/>
      <w:keepLines/>
      <w:spacing w:before="240"/>
      <w:outlineLvl w:val="0"/>
    </w:pPr>
    <w:rPr>
      <w:rFonts w:ascii="Calibri" w:eastAsiaTheme="majorEastAsia" w:hAnsi="Calibri" w:cstheme="majorBidi"/>
      <w:b/>
      <w:sz w:val="24"/>
      <w:szCs w:val="32"/>
      <w:u w:val="single"/>
    </w:rPr>
  </w:style>
  <w:style w:type="paragraph" w:styleId="Heading2">
    <w:name w:val="heading 2"/>
    <w:basedOn w:val="Normal"/>
    <w:next w:val="Normal"/>
    <w:link w:val="Heading2Char"/>
    <w:uiPriority w:val="9"/>
    <w:unhideWhenUsed/>
    <w:qFormat/>
    <w:rsid w:val="00D71D27"/>
    <w:pPr>
      <w:outlineLvl w:val="1"/>
    </w:pPr>
    <w:rPr>
      <w:b/>
    </w:rPr>
  </w:style>
  <w:style w:type="paragraph" w:styleId="Heading3">
    <w:name w:val="heading 3"/>
    <w:basedOn w:val="ListParagraph"/>
    <w:next w:val="Normal"/>
    <w:link w:val="Heading3Char"/>
    <w:uiPriority w:val="9"/>
    <w:unhideWhenUsed/>
    <w:qFormat/>
    <w:rsid w:val="00BC7EE4"/>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A2"/>
    <w:rPr>
      <w:color w:val="0563C1" w:themeColor="hyperlink"/>
      <w:u w:val="single"/>
    </w:rPr>
  </w:style>
  <w:style w:type="character" w:styleId="UnresolvedMention">
    <w:name w:val="Unresolved Mention"/>
    <w:basedOn w:val="DefaultParagraphFont"/>
    <w:uiPriority w:val="99"/>
    <w:semiHidden/>
    <w:unhideWhenUsed/>
    <w:rsid w:val="00F40EA2"/>
    <w:rPr>
      <w:color w:val="808080"/>
      <w:shd w:val="clear" w:color="auto" w:fill="E6E6E6"/>
    </w:rPr>
  </w:style>
  <w:style w:type="character" w:styleId="CommentReference">
    <w:name w:val="annotation reference"/>
    <w:basedOn w:val="DefaultParagraphFont"/>
    <w:uiPriority w:val="99"/>
    <w:semiHidden/>
    <w:unhideWhenUsed/>
    <w:rsid w:val="00A60A67"/>
    <w:rPr>
      <w:sz w:val="16"/>
      <w:szCs w:val="16"/>
    </w:rPr>
  </w:style>
  <w:style w:type="paragraph" w:styleId="CommentText">
    <w:name w:val="annotation text"/>
    <w:basedOn w:val="Normal"/>
    <w:link w:val="CommentTextChar"/>
    <w:uiPriority w:val="99"/>
    <w:semiHidden/>
    <w:unhideWhenUsed/>
    <w:rsid w:val="00A60A67"/>
    <w:rPr>
      <w:sz w:val="20"/>
      <w:szCs w:val="20"/>
    </w:rPr>
  </w:style>
  <w:style w:type="character" w:customStyle="1" w:styleId="CommentTextChar">
    <w:name w:val="Comment Text Char"/>
    <w:basedOn w:val="DefaultParagraphFont"/>
    <w:link w:val="CommentText"/>
    <w:uiPriority w:val="99"/>
    <w:semiHidden/>
    <w:rsid w:val="00A60A67"/>
    <w:rPr>
      <w:sz w:val="20"/>
      <w:szCs w:val="20"/>
    </w:rPr>
  </w:style>
  <w:style w:type="paragraph" w:styleId="CommentSubject">
    <w:name w:val="annotation subject"/>
    <w:basedOn w:val="CommentText"/>
    <w:next w:val="CommentText"/>
    <w:link w:val="CommentSubjectChar"/>
    <w:uiPriority w:val="99"/>
    <w:semiHidden/>
    <w:unhideWhenUsed/>
    <w:rsid w:val="00A60A67"/>
    <w:rPr>
      <w:b/>
      <w:bCs/>
    </w:rPr>
  </w:style>
  <w:style w:type="character" w:customStyle="1" w:styleId="CommentSubjectChar">
    <w:name w:val="Comment Subject Char"/>
    <w:basedOn w:val="CommentTextChar"/>
    <w:link w:val="CommentSubject"/>
    <w:uiPriority w:val="99"/>
    <w:semiHidden/>
    <w:rsid w:val="00A60A67"/>
    <w:rPr>
      <w:b/>
      <w:bCs/>
      <w:sz w:val="20"/>
      <w:szCs w:val="20"/>
    </w:rPr>
  </w:style>
  <w:style w:type="paragraph" w:styleId="BalloonText">
    <w:name w:val="Balloon Text"/>
    <w:basedOn w:val="Normal"/>
    <w:link w:val="BalloonTextChar"/>
    <w:uiPriority w:val="99"/>
    <w:semiHidden/>
    <w:unhideWhenUsed/>
    <w:rsid w:val="00A60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67"/>
    <w:rPr>
      <w:rFonts w:ascii="Segoe UI" w:hAnsi="Segoe UI" w:cs="Segoe UI"/>
      <w:sz w:val="18"/>
      <w:szCs w:val="18"/>
    </w:rPr>
  </w:style>
  <w:style w:type="paragraph" w:styleId="ListParagraph">
    <w:name w:val="List Paragraph"/>
    <w:basedOn w:val="Normal"/>
    <w:uiPriority w:val="34"/>
    <w:qFormat/>
    <w:rsid w:val="00A4417C"/>
    <w:pPr>
      <w:ind w:left="720"/>
      <w:contextualSpacing/>
    </w:pPr>
  </w:style>
  <w:style w:type="character" w:customStyle="1" w:styleId="Heading1Char">
    <w:name w:val="Heading 1 Char"/>
    <w:basedOn w:val="DefaultParagraphFont"/>
    <w:link w:val="Heading1"/>
    <w:uiPriority w:val="9"/>
    <w:rsid w:val="00BC7EE4"/>
    <w:rPr>
      <w:rFonts w:ascii="Calibri" w:eastAsiaTheme="majorEastAsia" w:hAnsi="Calibri" w:cstheme="majorBidi"/>
      <w:b/>
      <w:sz w:val="24"/>
      <w:szCs w:val="32"/>
      <w:u w:val="single"/>
    </w:rPr>
  </w:style>
  <w:style w:type="paragraph" w:styleId="TOCHeading">
    <w:name w:val="TOC Heading"/>
    <w:basedOn w:val="Heading1"/>
    <w:next w:val="Normal"/>
    <w:uiPriority w:val="39"/>
    <w:unhideWhenUsed/>
    <w:qFormat/>
    <w:rsid w:val="00D54270"/>
    <w:pPr>
      <w:spacing w:line="259" w:lineRule="auto"/>
      <w:outlineLvl w:val="9"/>
    </w:pPr>
  </w:style>
  <w:style w:type="paragraph" w:styleId="TOC2">
    <w:name w:val="toc 2"/>
    <w:basedOn w:val="Normal"/>
    <w:next w:val="Normal"/>
    <w:autoRedefine/>
    <w:uiPriority w:val="39"/>
    <w:unhideWhenUsed/>
    <w:rsid w:val="00D5427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D54270"/>
    <w:pPr>
      <w:spacing w:after="100" w:line="259" w:lineRule="auto"/>
    </w:pPr>
    <w:rPr>
      <w:rFonts w:eastAsiaTheme="minorEastAsia" w:cs="Times New Roman"/>
    </w:rPr>
  </w:style>
  <w:style w:type="paragraph" w:styleId="TOC3">
    <w:name w:val="toc 3"/>
    <w:basedOn w:val="Normal"/>
    <w:next w:val="Normal"/>
    <w:autoRedefine/>
    <w:uiPriority w:val="39"/>
    <w:unhideWhenUsed/>
    <w:rsid w:val="00D54270"/>
    <w:pPr>
      <w:spacing w:after="100" w:line="259" w:lineRule="auto"/>
      <w:ind w:left="440"/>
    </w:pPr>
    <w:rPr>
      <w:rFonts w:eastAsiaTheme="minorEastAsia" w:cs="Times New Roman"/>
    </w:rPr>
  </w:style>
  <w:style w:type="table" w:styleId="TableGrid">
    <w:name w:val="Table Grid"/>
    <w:basedOn w:val="TableNormal"/>
    <w:uiPriority w:val="39"/>
    <w:rsid w:val="0031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11D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077AB8"/>
    <w:rPr>
      <w:color w:val="954F72" w:themeColor="followedHyperlink"/>
      <w:u w:val="single"/>
    </w:rPr>
  </w:style>
  <w:style w:type="character" w:customStyle="1" w:styleId="Heading2Char">
    <w:name w:val="Heading 2 Char"/>
    <w:basedOn w:val="DefaultParagraphFont"/>
    <w:link w:val="Heading2"/>
    <w:uiPriority w:val="9"/>
    <w:rsid w:val="00D71D27"/>
    <w:rPr>
      <w:b/>
    </w:rPr>
  </w:style>
  <w:style w:type="character" w:customStyle="1" w:styleId="Heading3Char">
    <w:name w:val="Heading 3 Char"/>
    <w:basedOn w:val="DefaultParagraphFont"/>
    <w:link w:val="Heading3"/>
    <w:uiPriority w:val="9"/>
    <w:rsid w:val="00BC7EE4"/>
    <w:rPr>
      <w:b/>
      <w:u w:val="single"/>
    </w:rPr>
  </w:style>
  <w:style w:type="paragraph" w:styleId="Revision">
    <w:name w:val="Revision"/>
    <w:hidden/>
    <w:uiPriority w:val="99"/>
    <w:semiHidden/>
    <w:rsid w:val="004856CB"/>
  </w:style>
  <w:style w:type="paragraph" w:styleId="NoSpacing">
    <w:name w:val="No Spacing"/>
    <w:uiPriority w:val="1"/>
    <w:qFormat/>
    <w:rsid w:val="00821EE0"/>
  </w:style>
  <w:style w:type="numbering" w:customStyle="1" w:styleId="Style1">
    <w:name w:val="Style1"/>
    <w:uiPriority w:val="99"/>
    <w:rsid w:val="00FA5490"/>
    <w:pPr>
      <w:numPr>
        <w:numId w:val="4"/>
      </w:numPr>
    </w:pPr>
  </w:style>
  <w:style w:type="table" w:styleId="GridTable1Light">
    <w:name w:val="Grid Table 1 Light"/>
    <w:basedOn w:val="TableNormal"/>
    <w:uiPriority w:val="46"/>
    <w:rsid w:val="004016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edCell">
    <w:name w:val="Numbered Cell"/>
    <w:basedOn w:val="Normal"/>
    <w:qFormat/>
    <w:rsid w:val="00ED3271"/>
    <w:pPr>
      <w:jc w:val="center"/>
    </w:pPr>
    <w:rPr>
      <w:rFonts w:ascii="Arial" w:eastAsia="Calibri" w:hAnsi="Arial" w:cs="Times New Roman"/>
      <w:color w:val="FF0000"/>
      <w:sz w:val="20"/>
      <w:szCs w:val="20"/>
    </w:rPr>
  </w:style>
  <w:style w:type="paragraph" w:customStyle="1" w:styleId="TableHead">
    <w:name w:val="Table Head"/>
    <w:basedOn w:val="Normal"/>
    <w:qFormat/>
    <w:rsid w:val="00ED3271"/>
    <w:pPr>
      <w:jc w:val="center"/>
    </w:pPr>
    <w:rPr>
      <w:rFonts w:ascii="Arial" w:eastAsia="Calibri" w:hAnsi="Arial" w:cs="Arial"/>
      <w:b/>
      <w:sz w:val="20"/>
      <w:szCs w:val="20"/>
    </w:rPr>
  </w:style>
  <w:style w:type="paragraph" w:customStyle="1" w:styleId="TableCell">
    <w:name w:val="Table Cell"/>
    <w:basedOn w:val="Normal"/>
    <w:qFormat/>
    <w:rsid w:val="00ED3271"/>
    <w:rPr>
      <w:rFonts w:ascii="Arial" w:eastAsia="Calibri" w:hAnsi="Arial" w:cs="Arial"/>
      <w:sz w:val="20"/>
      <w:szCs w:val="20"/>
    </w:rPr>
  </w:style>
  <w:style w:type="paragraph" w:customStyle="1" w:styleId="Tablecellright">
    <w:name w:val="Table cell right"/>
    <w:basedOn w:val="TableCell"/>
    <w:qFormat/>
    <w:rsid w:val="00ED3271"/>
    <w:pPr>
      <w:jc w:val="right"/>
    </w:pPr>
  </w:style>
  <w:style w:type="paragraph" w:customStyle="1" w:styleId="Tablecellcenter">
    <w:name w:val="Table cell center"/>
    <w:basedOn w:val="TableCell"/>
    <w:qFormat/>
    <w:rsid w:val="00ED3271"/>
    <w:pPr>
      <w:jc w:val="center"/>
    </w:pPr>
  </w:style>
  <w:style w:type="table" w:customStyle="1" w:styleId="TableGrid1">
    <w:name w:val="Table Grid1"/>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F53"/>
    <w:pPr>
      <w:tabs>
        <w:tab w:val="center" w:pos="4680"/>
        <w:tab w:val="right" w:pos="9360"/>
      </w:tabs>
    </w:pPr>
  </w:style>
  <w:style w:type="character" w:customStyle="1" w:styleId="HeaderChar">
    <w:name w:val="Header Char"/>
    <w:basedOn w:val="DefaultParagraphFont"/>
    <w:link w:val="Header"/>
    <w:uiPriority w:val="99"/>
    <w:rsid w:val="00C32F53"/>
  </w:style>
  <w:style w:type="paragraph" w:styleId="Footer">
    <w:name w:val="footer"/>
    <w:basedOn w:val="Normal"/>
    <w:link w:val="FooterChar"/>
    <w:uiPriority w:val="99"/>
    <w:unhideWhenUsed/>
    <w:rsid w:val="00C32F53"/>
    <w:pPr>
      <w:tabs>
        <w:tab w:val="center" w:pos="4680"/>
        <w:tab w:val="right" w:pos="9360"/>
      </w:tabs>
    </w:pPr>
  </w:style>
  <w:style w:type="character" w:customStyle="1" w:styleId="FooterChar">
    <w:name w:val="Footer Char"/>
    <w:basedOn w:val="DefaultParagraphFont"/>
    <w:link w:val="Footer"/>
    <w:uiPriority w:val="99"/>
    <w:rsid w:val="00C32F53"/>
  </w:style>
  <w:style w:type="paragraph" w:customStyle="1" w:styleId="Default">
    <w:name w:val="Default"/>
    <w:rsid w:val="00FC625A"/>
    <w:pPr>
      <w:widowControl w:val="0"/>
      <w:autoSpaceDE w:val="0"/>
      <w:autoSpaceDN w:val="0"/>
      <w:adjustRightInd w:val="0"/>
      <w:spacing w:after="8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996">
      <w:bodyDiv w:val="1"/>
      <w:marLeft w:val="0"/>
      <w:marRight w:val="0"/>
      <w:marTop w:val="0"/>
      <w:marBottom w:val="0"/>
      <w:divBdr>
        <w:top w:val="none" w:sz="0" w:space="0" w:color="auto"/>
        <w:left w:val="none" w:sz="0" w:space="0" w:color="auto"/>
        <w:bottom w:val="none" w:sz="0" w:space="0" w:color="auto"/>
        <w:right w:val="none" w:sz="0" w:space="0" w:color="auto"/>
      </w:divBdr>
    </w:div>
    <w:div w:id="49236933">
      <w:bodyDiv w:val="1"/>
      <w:marLeft w:val="0"/>
      <w:marRight w:val="0"/>
      <w:marTop w:val="0"/>
      <w:marBottom w:val="0"/>
      <w:divBdr>
        <w:top w:val="none" w:sz="0" w:space="0" w:color="auto"/>
        <w:left w:val="none" w:sz="0" w:space="0" w:color="auto"/>
        <w:bottom w:val="none" w:sz="0" w:space="0" w:color="auto"/>
        <w:right w:val="none" w:sz="0" w:space="0" w:color="auto"/>
      </w:divBdr>
    </w:div>
    <w:div w:id="72508346">
      <w:bodyDiv w:val="1"/>
      <w:marLeft w:val="0"/>
      <w:marRight w:val="0"/>
      <w:marTop w:val="0"/>
      <w:marBottom w:val="0"/>
      <w:divBdr>
        <w:top w:val="none" w:sz="0" w:space="0" w:color="auto"/>
        <w:left w:val="none" w:sz="0" w:space="0" w:color="auto"/>
        <w:bottom w:val="none" w:sz="0" w:space="0" w:color="auto"/>
        <w:right w:val="none" w:sz="0" w:space="0" w:color="auto"/>
      </w:divBdr>
    </w:div>
    <w:div w:id="81344376">
      <w:bodyDiv w:val="1"/>
      <w:marLeft w:val="0"/>
      <w:marRight w:val="0"/>
      <w:marTop w:val="0"/>
      <w:marBottom w:val="0"/>
      <w:divBdr>
        <w:top w:val="none" w:sz="0" w:space="0" w:color="auto"/>
        <w:left w:val="none" w:sz="0" w:space="0" w:color="auto"/>
        <w:bottom w:val="none" w:sz="0" w:space="0" w:color="auto"/>
        <w:right w:val="none" w:sz="0" w:space="0" w:color="auto"/>
      </w:divBdr>
    </w:div>
    <w:div w:id="162555464">
      <w:bodyDiv w:val="1"/>
      <w:marLeft w:val="0"/>
      <w:marRight w:val="0"/>
      <w:marTop w:val="0"/>
      <w:marBottom w:val="0"/>
      <w:divBdr>
        <w:top w:val="none" w:sz="0" w:space="0" w:color="auto"/>
        <w:left w:val="none" w:sz="0" w:space="0" w:color="auto"/>
        <w:bottom w:val="none" w:sz="0" w:space="0" w:color="auto"/>
        <w:right w:val="none" w:sz="0" w:space="0" w:color="auto"/>
      </w:divBdr>
    </w:div>
    <w:div w:id="479008254">
      <w:bodyDiv w:val="1"/>
      <w:marLeft w:val="0"/>
      <w:marRight w:val="0"/>
      <w:marTop w:val="0"/>
      <w:marBottom w:val="0"/>
      <w:divBdr>
        <w:top w:val="none" w:sz="0" w:space="0" w:color="auto"/>
        <w:left w:val="none" w:sz="0" w:space="0" w:color="auto"/>
        <w:bottom w:val="none" w:sz="0" w:space="0" w:color="auto"/>
        <w:right w:val="none" w:sz="0" w:space="0" w:color="auto"/>
      </w:divBdr>
    </w:div>
    <w:div w:id="481896231">
      <w:bodyDiv w:val="1"/>
      <w:marLeft w:val="0"/>
      <w:marRight w:val="0"/>
      <w:marTop w:val="0"/>
      <w:marBottom w:val="0"/>
      <w:divBdr>
        <w:top w:val="none" w:sz="0" w:space="0" w:color="auto"/>
        <w:left w:val="none" w:sz="0" w:space="0" w:color="auto"/>
        <w:bottom w:val="none" w:sz="0" w:space="0" w:color="auto"/>
        <w:right w:val="none" w:sz="0" w:space="0" w:color="auto"/>
      </w:divBdr>
    </w:div>
    <w:div w:id="627006922">
      <w:bodyDiv w:val="1"/>
      <w:marLeft w:val="0"/>
      <w:marRight w:val="0"/>
      <w:marTop w:val="0"/>
      <w:marBottom w:val="0"/>
      <w:divBdr>
        <w:top w:val="none" w:sz="0" w:space="0" w:color="auto"/>
        <w:left w:val="none" w:sz="0" w:space="0" w:color="auto"/>
        <w:bottom w:val="none" w:sz="0" w:space="0" w:color="auto"/>
        <w:right w:val="none" w:sz="0" w:space="0" w:color="auto"/>
      </w:divBdr>
    </w:div>
    <w:div w:id="871071142">
      <w:bodyDiv w:val="1"/>
      <w:marLeft w:val="0"/>
      <w:marRight w:val="0"/>
      <w:marTop w:val="0"/>
      <w:marBottom w:val="0"/>
      <w:divBdr>
        <w:top w:val="none" w:sz="0" w:space="0" w:color="auto"/>
        <w:left w:val="none" w:sz="0" w:space="0" w:color="auto"/>
        <w:bottom w:val="none" w:sz="0" w:space="0" w:color="auto"/>
        <w:right w:val="none" w:sz="0" w:space="0" w:color="auto"/>
      </w:divBdr>
    </w:div>
    <w:div w:id="974792152">
      <w:bodyDiv w:val="1"/>
      <w:marLeft w:val="0"/>
      <w:marRight w:val="0"/>
      <w:marTop w:val="0"/>
      <w:marBottom w:val="0"/>
      <w:divBdr>
        <w:top w:val="none" w:sz="0" w:space="0" w:color="auto"/>
        <w:left w:val="none" w:sz="0" w:space="0" w:color="auto"/>
        <w:bottom w:val="none" w:sz="0" w:space="0" w:color="auto"/>
        <w:right w:val="none" w:sz="0" w:space="0" w:color="auto"/>
      </w:divBdr>
    </w:div>
    <w:div w:id="990212510">
      <w:bodyDiv w:val="1"/>
      <w:marLeft w:val="0"/>
      <w:marRight w:val="0"/>
      <w:marTop w:val="0"/>
      <w:marBottom w:val="0"/>
      <w:divBdr>
        <w:top w:val="none" w:sz="0" w:space="0" w:color="auto"/>
        <w:left w:val="none" w:sz="0" w:space="0" w:color="auto"/>
        <w:bottom w:val="none" w:sz="0" w:space="0" w:color="auto"/>
        <w:right w:val="none" w:sz="0" w:space="0" w:color="auto"/>
      </w:divBdr>
    </w:div>
    <w:div w:id="1087262830">
      <w:bodyDiv w:val="1"/>
      <w:marLeft w:val="0"/>
      <w:marRight w:val="0"/>
      <w:marTop w:val="0"/>
      <w:marBottom w:val="0"/>
      <w:divBdr>
        <w:top w:val="none" w:sz="0" w:space="0" w:color="auto"/>
        <w:left w:val="none" w:sz="0" w:space="0" w:color="auto"/>
        <w:bottom w:val="none" w:sz="0" w:space="0" w:color="auto"/>
        <w:right w:val="none" w:sz="0" w:space="0" w:color="auto"/>
      </w:divBdr>
    </w:div>
    <w:div w:id="1170678615">
      <w:bodyDiv w:val="1"/>
      <w:marLeft w:val="0"/>
      <w:marRight w:val="0"/>
      <w:marTop w:val="0"/>
      <w:marBottom w:val="0"/>
      <w:divBdr>
        <w:top w:val="none" w:sz="0" w:space="0" w:color="auto"/>
        <w:left w:val="none" w:sz="0" w:space="0" w:color="auto"/>
        <w:bottom w:val="none" w:sz="0" w:space="0" w:color="auto"/>
        <w:right w:val="none" w:sz="0" w:space="0" w:color="auto"/>
      </w:divBdr>
    </w:div>
    <w:div w:id="1256403791">
      <w:bodyDiv w:val="1"/>
      <w:marLeft w:val="0"/>
      <w:marRight w:val="0"/>
      <w:marTop w:val="0"/>
      <w:marBottom w:val="0"/>
      <w:divBdr>
        <w:top w:val="none" w:sz="0" w:space="0" w:color="auto"/>
        <w:left w:val="none" w:sz="0" w:space="0" w:color="auto"/>
        <w:bottom w:val="none" w:sz="0" w:space="0" w:color="auto"/>
        <w:right w:val="none" w:sz="0" w:space="0" w:color="auto"/>
      </w:divBdr>
    </w:div>
    <w:div w:id="1346592502">
      <w:bodyDiv w:val="1"/>
      <w:marLeft w:val="0"/>
      <w:marRight w:val="0"/>
      <w:marTop w:val="0"/>
      <w:marBottom w:val="0"/>
      <w:divBdr>
        <w:top w:val="none" w:sz="0" w:space="0" w:color="auto"/>
        <w:left w:val="none" w:sz="0" w:space="0" w:color="auto"/>
        <w:bottom w:val="none" w:sz="0" w:space="0" w:color="auto"/>
        <w:right w:val="none" w:sz="0" w:space="0" w:color="auto"/>
      </w:divBdr>
    </w:div>
    <w:div w:id="1442191081">
      <w:bodyDiv w:val="1"/>
      <w:marLeft w:val="0"/>
      <w:marRight w:val="0"/>
      <w:marTop w:val="0"/>
      <w:marBottom w:val="0"/>
      <w:divBdr>
        <w:top w:val="none" w:sz="0" w:space="0" w:color="auto"/>
        <w:left w:val="none" w:sz="0" w:space="0" w:color="auto"/>
        <w:bottom w:val="none" w:sz="0" w:space="0" w:color="auto"/>
        <w:right w:val="none" w:sz="0" w:space="0" w:color="auto"/>
      </w:divBdr>
    </w:div>
    <w:div w:id="1645695448">
      <w:bodyDiv w:val="1"/>
      <w:marLeft w:val="0"/>
      <w:marRight w:val="0"/>
      <w:marTop w:val="0"/>
      <w:marBottom w:val="0"/>
      <w:divBdr>
        <w:top w:val="none" w:sz="0" w:space="0" w:color="auto"/>
        <w:left w:val="none" w:sz="0" w:space="0" w:color="auto"/>
        <w:bottom w:val="none" w:sz="0" w:space="0" w:color="auto"/>
        <w:right w:val="none" w:sz="0" w:space="0" w:color="auto"/>
      </w:divBdr>
    </w:div>
    <w:div w:id="1809858598">
      <w:bodyDiv w:val="1"/>
      <w:marLeft w:val="0"/>
      <w:marRight w:val="0"/>
      <w:marTop w:val="0"/>
      <w:marBottom w:val="0"/>
      <w:divBdr>
        <w:top w:val="none" w:sz="0" w:space="0" w:color="auto"/>
        <w:left w:val="none" w:sz="0" w:space="0" w:color="auto"/>
        <w:bottom w:val="none" w:sz="0" w:space="0" w:color="auto"/>
        <w:right w:val="none" w:sz="0" w:space="0" w:color="auto"/>
      </w:divBdr>
    </w:div>
    <w:div w:id="1832914207">
      <w:bodyDiv w:val="1"/>
      <w:marLeft w:val="0"/>
      <w:marRight w:val="0"/>
      <w:marTop w:val="0"/>
      <w:marBottom w:val="0"/>
      <w:divBdr>
        <w:top w:val="none" w:sz="0" w:space="0" w:color="auto"/>
        <w:left w:val="none" w:sz="0" w:space="0" w:color="auto"/>
        <w:bottom w:val="none" w:sz="0" w:space="0" w:color="auto"/>
        <w:right w:val="none" w:sz="0" w:space="0" w:color="auto"/>
      </w:divBdr>
    </w:div>
    <w:div w:id="20047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D11B-A575-479A-ACE3-20E9820A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Andrew</dc:creator>
  <cp:keywords/>
  <dc:description/>
  <cp:lastModifiedBy>Bauserman, Alexis</cp:lastModifiedBy>
  <cp:revision>3</cp:revision>
  <cp:lastPrinted>2018-07-18T14:03:00Z</cp:lastPrinted>
  <dcterms:created xsi:type="dcterms:W3CDTF">2018-08-06T19:47:00Z</dcterms:created>
  <dcterms:modified xsi:type="dcterms:W3CDTF">2018-08-06T19:48:00Z</dcterms:modified>
</cp:coreProperties>
</file>