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C116" w14:textId="203EC925" w:rsidR="00EB5F53" w:rsidRPr="00A12CAE" w:rsidRDefault="008B3D8A" w:rsidP="00A12CAE">
      <w:pPr>
        <w:pStyle w:val="Title"/>
        <w:rPr>
          <w:sz w:val="40"/>
          <w:szCs w:val="40"/>
        </w:rPr>
      </w:pPr>
      <w:r w:rsidRPr="00A12CAE">
        <w:rPr>
          <w:sz w:val="40"/>
          <w:szCs w:val="40"/>
        </w:rPr>
        <w:t>PREP Residency Memorandum of Understanding</w:t>
      </w:r>
      <w:r w:rsidR="00D86C72" w:rsidRPr="00A12CAE">
        <w:rPr>
          <w:sz w:val="40"/>
          <w:szCs w:val="40"/>
        </w:rPr>
        <w:t xml:space="preserve">: </w:t>
      </w:r>
      <w:r w:rsidRPr="00A12CAE">
        <w:rPr>
          <w:sz w:val="40"/>
          <w:szCs w:val="40"/>
        </w:rPr>
        <w:t xml:space="preserve"> </w:t>
      </w:r>
    </w:p>
    <w:p w14:paraId="55916641" w14:textId="2ABDE1F8" w:rsidR="00EB5F53" w:rsidRPr="00A12CAE" w:rsidRDefault="008B3D8A" w:rsidP="00A12CAE">
      <w:pPr>
        <w:pStyle w:val="Title"/>
        <w:rPr>
          <w:sz w:val="40"/>
          <w:szCs w:val="40"/>
        </w:rPr>
      </w:pPr>
      <w:r w:rsidRPr="00A12CAE">
        <w:rPr>
          <w:sz w:val="40"/>
          <w:szCs w:val="40"/>
        </w:rPr>
        <w:t>2026–2027</w:t>
      </w:r>
    </w:p>
    <w:p w14:paraId="460CB3EA" w14:textId="77777777" w:rsidR="00EB5F53" w:rsidRDefault="008B3D8A">
      <w:r>
        <w:br/>
        <w:t>This Memorandum of Understanding ("Agreement") is entered into on __________________ between __________________ School System (hereinafter, "School System") and __________________ Educator Preparation Program (hereinafter, "EPP").</w:t>
      </w:r>
    </w:p>
    <w:p w14:paraId="705EEBDA" w14:textId="77777777" w:rsidR="00EB5F53" w:rsidRPr="00A12CAE" w:rsidRDefault="008B3D8A" w:rsidP="00A12CAE">
      <w:pPr>
        <w:pStyle w:val="Heading1"/>
        <w:rPr>
          <w:color w:val="0F243E" w:themeColor="text2" w:themeShade="80"/>
        </w:rPr>
      </w:pPr>
      <w:r w:rsidRPr="00A12CAE">
        <w:rPr>
          <w:color w:val="0F243E" w:themeColor="text2" w:themeShade="80"/>
        </w:rPr>
        <w:t>1. Purpose</w:t>
      </w:r>
    </w:p>
    <w:p w14:paraId="048AEDDB" w14:textId="77777777" w:rsidR="00EB5F53" w:rsidRDefault="008B3D8A">
      <w:pPr>
        <w:pStyle w:val="ListBullet"/>
      </w:pPr>
      <w:r>
        <w:t>To facilitate a learning-centered partnership between the School System and the EPP in compliance with the Preparing &amp; Retaining Educators through Partnership (PREP) Program Allotment.</w:t>
      </w:r>
    </w:p>
    <w:p w14:paraId="60D38E26" w14:textId="77777777" w:rsidR="00EB5F53" w:rsidRDefault="008B3D8A">
      <w:pPr>
        <w:pStyle w:val="ListBullet"/>
      </w:pPr>
      <w:r>
        <w:t>To support a high-quality teacher residency that results in effective classroom practice and positive PK–12 student outcomes.</w:t>
      </w:r>
    </w:p>
    <w:p w14:paraId="2F012C5C" w14:textId="77777777" w:rsidR="00EB5F53" w:rsidRDefault="008B3D8A" w:rsidP="00A12CAE">
      <w:pPr>
        <w:pStyle w:val="Heading1"/>
        <w:rPr>
          <w:color w:val="0F243E" w:themeColor="text2" w:themeShade="80"/>
        </w:rPr>
      </w:pPr>
      <w:r>
        <w:rPr>
          <w:color w:val="0F243E" w:themeColor="text2" w:themeShade="80"/>
        </w:rPr>
        <w:t>2. Authority &amp; Citations</w:t>
      </w:r>
    </w:p>
    <w:p w14:paraId="5B0F961E" w14:textId="0F05EFA9" w:rsidR="00EB5F53" w:rsidRDefault="008B3D8A">
      <w:r>
        <w:t xml:space="preserve">This Agreement is intended to satisfy the PREP partnership components and applicable requirements in Texas Education Code (TEC) §§ 21.902, 21.904, and 48.157, and Texas Administrative Code (TAC) </w:t>
      </w:r>
      <w:r w:rsidR="00D86C72">
        <w:t>Chapter 228</w:t>
      </w:r>
      <w:r>
        <w:t xml:space="preserve"> (as applicable).</w:t>
      </w:r>
    </w:p>
    <w:p w14:paraId="2D3E2D0A" w14:textId="6642E03E" w:rsidR="00EB5F53" w:rsidRDefault="00A276FB" w:rsidP="00A12CAE">
      <w:pPr>
        <w:pStyle w:val="Heading1"/>
        <w:rPr>
          <w:color w:val="0F243E" w:themeColor="text2" w:themeShade="80"/>
        </w:rPr>
      </w:pPr>
      <w:r>
        <w:rPr>
          <w:color w:val="0F243E" w:themeColor="text2" w:themeShade="80"/>
        </w:rPr>
        <w:t>3. Term &amp; Renewal</w:t>
      </w:r>
    </w:p>
    <w:p w14:paraId="4552A9DB" w14:textId="77777777" w:rsidR="00EB5F53" w:rsidRDefault="008B3D8A">
      <w:r>
        <w:t>This Agreement begins on __________________ and ends on __________________ (2026–2027 school year). It may be renewed or amended by mutual written agreement of the Parties.</w:t>
      </w:r>
    </w:p>
    <w:p w14:paraId="0F4B0C81" w14:textId="08B84EEC" w:rsidR="00EB5F53" w:rsidRDefault="00A276FB" w:rsidP="00A12CAE">
      <w:pPr>
        <w:pStyle w:val="Heading1"/>
        <w:rPr>
          <w:color w:val="0F243E" w:themeColor="text2" w:themeShade="80"/>
        </w:rPr>
      </w:pPr>
      <w:r>
        <w:rPr>
          <w:color w:val="0F243E" w:themeColor="text2" w:themeShade="80"/>
        </w:rPr>
        <w:t>4. Collaborative Goals</w:t>
      </w:r>
    </w:p>
    <w:p w14:paraId="4D2B7173" w14:textId="77777777" w:rsidR="00EB5F53" w:rsidRDefault="008B3D8A">
      <w:pPr>
        <w:pStyle w:val="ListBullet"/>
      </w:pPr>
      <w:r>
        <w:t>Provide Residents with professional instructional coaching and opportunities to engage in co-teaching throughout the clinical placement.</w:t>
      </w:r>
    </w:p>
    <w:p w14:paraId="16AC38A6" w14:textId="77777777" w:rsidR="00EB5F53" w:rsidRDefault="008B3D8A">
      <w:pPr>
        <w:pStyle w:val="ListBullet"/>
      </w:pPr>
      <w:r>
        <w:t>Ensure compliance with SBEC requirements for Residents seeking initial certification and with PREP Program Allotment requirements.</w:t>
      </w:r>
    </w:p>
    <w:p w14:paraId="6805F30C" w14:textId="77777777" w:rsidR="00EB5F53" w:rsidRDefault="008B3D8A">
      <w:pPr>
        <w:pStyle w:val="ListBullet"/>
      </w:pPr>
      <w:r>
        <w:t>Establish and communicate compliance procedures associated with participation in PREP.</w:t>
      </w:r>
    </w:p>
    <w:p w14:paraId="4749FCC9" w14:textId="3A39D5D7" w:rsidR="00EB5F53" w:rsidRDefault="00A276FB" w:rsidP="00A12CAE">
      <w:pPr>
        <w:pStyle w:val="Heading1"/>
        <w:rPr>
          <w:color w:val="0F243E" w:themeColor="text2" w:themeShade="80"/>
        </w:rPr>
      </w:pPr>
      <w:r>
        <w:rPr>
          <w:color w:val="0F243E" w:themeColor="text2" w:themeShade="80"/>
        </w:rPr>
        <w:t>5. Shared Governance &amp; Progress Monitoring of Program Quality</w:t>
      </w:r>
    </w:p>
    <w:p w14:paraId="7C73744C" w14:textId="77777777" w:rsidR="00EB5F53" w:rsidRDefault="008B3D8A">
      <w:pPr>
        <w:pStyle w:val="ListBullet"/>
      </w:pPr>
      <w:r>
        <w:t>Cadence: The Parties will meet at least quarterly (minimum four meetings per academic year).</w:t>
      </w:r>
    </w:p>
    <w:p w14:paraId="74417A2C" w14:textId="242F5055" w:rsidR="00EB5F53" w:rsidRDefault="0099256A">
      <w:pPr>
        <w:pStyle w:val="ListBullet"/>
      </w:pPr>
      <w:r>
        <w:t>Participation: Each Party will identify expected participants (e.g., district leadership, program manager, campus leaders; EPP legal authority, residency program leadership, field supervision lead) and roles within the governance structure.</w:t>
      </w:r>
    </w:p>
    <w:p w14:paraId="0EF8DFDA" w14:textId="11DA4C2B" w:rsidR="00EB5F53" w:rsidRDefault="008B3D8A">
      <w:pPr>
        <w:pStyle w:val="ListBullet"/>
      </w:pPr>
      <w:r>
        <w:t xml:space="preserve">Scope: </w:t>
      </w:r>
      <w:r w:rsidR="0029493F">
        <w:t>Parties agree to r</w:t>
      </w:r>
      <w:r>
        <w:t>eview current programmatic resident data, host teacher supports, and implementation needs to make just-in-time improvements.</w:t>
      </w:r>
    </w:p>
    <w:p w14:paraId="7CB05707" w14:textId="77777777" w:rsidR="00EB5F53" w:rsidRDefault="008B3D8A">
      <w:pPr>
        <w:pStyle w:val="ListBullet"/>
      </w:pPr>
      <w:r>
        <w:lastRenderedPageBreak/>
        <w:t>Data-Sharing Framework: Establish processes to share non-identified School System performance data between the Parties for monitoring and evaluation of Resident preparation and effectiveness.</w:t>
      </w:r>
    </w:p>
    <w:p w14:paraId="1407A786" w14:textId="0157AD3A" w:rsidR="00EB5F53" w:rsidRDefault="00A276FB" w:rsidP="00A12CAE">
      <w:pPr>
        <w:pStyle w:val="Heading1"/>
        <w:rPr>
          <w:color w:val="0F243E" w:themeColor="text2" w:themeShade="80"/>
        </w:rPr>
      </w:pPr>
      <w:r>
        <w:rPr>
          <w:color w:val="0F243E" w:themeColor="text2" w:themeShade="80"/>
        </w:rPr>
        <w:t>6. Recruitment</w:t>
      </w:r>
    </w:p>
    <w:p w14:paraId="04B27C73" w14:textId="77777777" w:rsidR="00EB5F53" w:rsidRDefault="008B3D8A">
      <w:r>
        <w:t>The Parties will collaborate to recruit candidates that meet the School System’s greatest staffing needs and align with EPP admissions and program capacity.</w:t>
      </w:r>
    </w:p>
    <w:p w14:paraId="4E5D072B" w14:textId="78C8071E" w:rsidR="00EB5F53" w:rsidRDefault="00A276FB" w:rsidP="00A12CAE">
      <w:pPr>
        <w:pStyle w:val="Heading1"/>
        <w:rPr>
          <w:color w:val="0F243E" w:themeColor="text2" w:themeShade="80"/>
        </w:rPr>
      </w:pPr>
      <w:r>
        <w:rPr>
          <w:color w:val="0F243E" w:themeColor="text2" w:themeShade="80"/>
        </w:rPr>
        <w:t>7. Support for Residents</w:t>
      </w:r>
    </w:p>
    <w:p w14:paraId="61E8C9B8" w14:textId="4D3E7EB1" w:rsidR="00EB5F53" w:rsidRPr="00A12CAE" w:rsidRDefault="00164930" w:rsidP="00A12CAE">
      <w:pPr>
        <w:pStyle w:val="Heading2"/>
        <w:rPr>
          <w:color w:val="984806" w:themeColor="accent6" w:themeShade="80"/>
        </w:rPr>
      </w:pPr>
      <w:r w:rsidRPr="00A12CAE">
        <w:rPr>
          <w:color w:val="984806" w:themeColor="accent6" w:themeShade="80"/>
        </w:rPr>
        <w:t>7.1 Communication &amp; Cohort Management</w:t>
      </w:r>
    </w:p>
    <w:p w14:paraId="3A8F9486" w14:textId="77777777" w:rsidR="00EB5F53" w:rsidRDefault="008B3D8A">
      <w:pPr>
        <w:pStyle w:val="ListBullet"/>
      </w:pPr>
      <w:r>
        <w:t>Each Party will designate named personnel responsible for direct communication with and management of Residents; these responsibilities will be explicitly included in the personnel job descriptions.</w:t>
      </w:r>
    </w:p>
    <w:p w14:paraId="3141BC1C" w14:textId="19CE5ABD" w:rsidR="00EB5F53" w:rsidRDefault="00164930" w:rsidP="00A12CAE">
      <w:pPr>
        <w:pStyle w:val="Heading2"/>
        <w:rPr>
          <w:color w:val="984806" w:themeColor="accent6" w:themeShade="80"/>
        </w:rPr>
      </w:pPr>
      <w:r>
        <w:rPr>
          <w:color w:val="984806" w:themeColor="accent6" w:themeShade="80"/>
        </w:rPr>
        <w:t>7.2 Clinical Experience</w:t>
      </w:r>
    </w:p>
    <w:p w14:paraId="41DA596F" w14:textId="77777777" w:rsidR="00EB5F53" w:rsidRDefault="008B3D8A">
      <w:pPr>
        <w:pStyle w:val="ListBullet"/>
      </w:pPr>
      <w:r>
        <w:t>Program design and site scheduling will ensure a minimum of 750 hours of co-teaching under the supervision of a qualified Host Teacher during the residency year.</w:t>
      </w:r>
    </w:p>
    <w:p w14:paraId="70A5DA4D" w14:textId="77777777" w:rsidR="00EB5F53" w:rsidRDefault="008B3D8A">
      <w:pPr>
        <w:pStyle w:val="ListBullet"/>
      </w:pPr>
      <w:r>
        <w:t>Partners will identify processes and timelines to ensure Residents complete all required coursework and training for the Enhanced Standard Certificate, including—if needed—scheduled release time or designated professional learning periods.</w:t>
      </w:r>
    </w:p>
    <w:p w14:paraId="25B4BA27" w14:textId="52C3D7D5" w:rsidR="00EB5F53" w:rsidRDefault="00164930" w:rsidP="00A12CAE">
      <w:pPr>
        <w:pStyle w:val="Heading2"/>
        <w:rPr>
          <w:color w:val="984806" w:themeColor="accent6" w:themeShade="80"/>
        </w:rPr>
      </w:pPr>
      <w:r>
        <w:rPr>
          <w:color w:val="984806" w:themeColor="accent6" w:themeShade="80"/>
        </w:rPr>
        <w:t>7.3 Intervention &amp; Support</w:t>
      </w:r>
    </w:p>
    <w:p w14:paraId="21563F83" w14:textId="77777777" w:rsidR="00EB5F53" w:rsidRDefault="008B3D8A">
      <w:pPr>
        <w:pStyle w:val="ListBullet"/>
      </w:pPr>
      <w:r>
        <w:t>The Parties will develop individualized support plans for Residents, as needed, with clear roles and responsibilities for both Parties.</w:t>
      </w:r>
    </w:p>
    <w:p w14:paraId="04CF5A29" w14:textId="1B74463E" w:rsidR="00EB5F53" w:rsidRDefault="00164930" w:rsidP="00A12CAE">
      <w:pPr>
        <w:pStyle w:val="Heading2"/>
        <w:rPr>
          <w:color w:val="984806" w:themeColor="accent6" w:themeShade="80"/>
        </w:rPr>
      </w:pPr>
      <w:r>
        <w:rPr>
          <w:color w:val="984806" w:themeColor="accent6" w:themeShade="80"/>
        </w:rPr>
        <w:t>7.4 Evaluation &amp; Coaching</w:t>
      </w:r>
    </w:p>
    <w:p w14:paraId="21C29B02" w14:textId="77777777" w:rsidR="00EB5F53" w:rsidRDefault="008B3D8A">
      <w:pPr>
        <w:pStyle w:val="ListBullet"/>
      </w:pPr>
      <w:r>
        <w:t>Formal Evaluation: Identify the evaluative tools, rubrics, and measures used to evaluate Resident progress and performance, and how data will be collected and communicated to all Parties.</w:t>
      </w:r>
    </w:p>
    <w:p w14:paraId="41C15379" w14:textId="77777777" w:rsidR="00EB5F53" w:rsidRDefault="008B3D8A">
      <w:pPr>
        <w:pStyle w:val="ListBullet"/>
      </w:pPr>
      <w:r>
        <w:t xml:space="preserve">Informal Coaching: Adopt a shared informal observation/walkthrough tool for coaching and progress </w:t>
      </w:r>
      <w:proofErr w:type="gramStart"/>
      <w:r>
        <w:t>monitoring, and</w:t>
      </w:r>
      <w:proofErr w:type="gramEnd"/>
      <w:r>
        <w:t xml:space="preserve"> calibrate on its use at least annually.</w:t>
      </w:r>
    </w:p>
    <w:p w14:paraId="30AC2831" w14:textId="550A956E" w:rsidR="00EB5F53" w:rsidRDefault="00164930" w:rsidP="00A12CAE">
      <w:pPr>
        <w:pStyle w:val="Heading2"/>
        <w:rPr>
          <w:color w:val="984806" w:themeColor="accent6" w:themeShade="80"/>
        </w:rPr>
      </w:pPr>
      <w:r>
        <w:rPr>
          <w:color w:val="984806" w:themeColor="accent6" w:themeShade="80"/>
        </w:rPr>
        <w:t>7.5 Observation Logistics</w:t>
      </w:r>
    </w:p>
    <w:p w14:paraId="578EB478" w14:textId="77777777" w:rsidR="00EB5F53" w:rsidRDefault="008B3D8A">
      <w:pPr>
        <w:pStyle w:val="ListBullet"/>
      </w:pPr>
      <w:r>
        <w:t>Data Collection &amp; Dissemination: Ensure compliance with FERPA and School System policies in any collection, storage, or sharing of data.</w:t>
      </w:r>
    </w:p>
    <w:p w14:paraId="18AE432D" w14:textId="77777777" w:rsidR="00EB5F53" w:rsidRDefault="008B3D8A">
      <w:pPr>
        <w:pStyle w:val="ListBullet"/>
      </w:pPr>
      <w:r>
        <w:t>Communication of Schedules &amp; Results: Field Supervisors and/or EPP faculty will communicate observation schedules and results to designated School System personnel via __________________.</w:t>
      </w:r>
    </w:p>
    <w:p w14:paraId="7053D82E" w14:textId="77777777" w:rsidR="00EB5F53" w:rsidRDefault="008B3D8A">
      <w:pPr>
        <w:pStyle w:val="ListBullet"/>
      </w:pPr>
      <w:r>
        <w:t>Campus Visit Procedures: EPP personnel will adhere to School System campus-visit procedures (e.g., check-in, scheduling, and observation protocols), which the School System will provide in writing and update as needed.</w:t>
      </w:r>
    </w:p>
    <w:p w14:paraId="5B995DD0" w14:textId="123F8B70" w:rsidR="00EB5F53" w:rsidRDefault="00164930" w:rsidP="00A12CAE">
      <w:pPr>
        <w:pStyle w:val="Heading1"/>
        <w:rPr>
          <w:color w:val="0F243E" w:themeColor="text2" w:themeShade="80"/>
        </w:rPr>
      </w:pPr>
      <w:r>
        <w:rPr>
          <w:color w:val="0F243E" w:themeColor="text2" w:themeShade="80"/>
        </w:rPr>
        <w:lastRenderedPageBreak/>
        <w:t>8. Support for Host Teachers</w:t>
      </w:r>
    </w:p>
    <w:p w14:paraId="3B68D22D" w14:textId="5EB6E2E8" w:rsidR="00F6031F" w:rsidRDefault="00F6031F" w:rsidP="00F6031F">
      <w:pPr>
        <w:pStyle w:val="ListBullet"/>
      </w:pPr>
      <w:r>
        <w:t>Collaborate to identify and select high-quality Host Teachers using agreed-upon criteria.</w:t>
      </w:r>
    </w:p>
    <w:p w14:paraId="25B0CD34" w14:textId="7C4D454F" w:rsidR="00EB5F53" w:rsidRDefault="008B3D8A">
      <w:pPr>
        <w:pStyle w:val="ListBullet"/>
      </w:pPr>
      <w:r>
        <w:t>Training (2026–2027): The Parties will identify which entity is responsible for Host Teacher training in the 2026–2027 academic year and develop a plan to ensure quality training that meets SBEC requirements.</w:t>
      </w:r>
    </w:p>
    <w:p w14:paraId="0ABD192A" w14:textId="77777777" w:rsidR="00EB5F53" w:rsidRDefault="008B3D8A">
      <w:pPr>
        <w:pStyle w:val="ListBullet"/>
      </w:pPr>
      <w:r>
        <w:t>Ongoing Development: Define roles and responsibilities for ongoing Host Teacher development during the academic year, including observation and feedback of coaching practices.</w:t>
      </w:r>
    </w:p>
    <w:p w14:paraId="137B087F" w14:textId="77777777" w:rsidR="00EB5F53" w:rsidRDefault="008B3D8A">
      <w:pPr>
        <w:pStyle w:val="ListBullet"/>
      </w:pPr>
      <w:r>
        <w:t>Support/Reassignment Protocol: Implement a Host Teacher support and/or reassignment protocol.</w:t>
      </w:r>
    </w:p>
    <w:p w14:paraId="7201B85D" w14:textId="6E9F8AFA" w:rsidR="00EB5F53" w:rsidRDefault="00164930" w:rsidP="00A12CAE">
      <w:pPr>
        <w:pStyle w:val="Heading1"/>
        <w:rPr>
          <w:color w:val="0F243E" w:themeColor="text2" w:themeShade="80"/>
        </w:rPr>
      </w:pPr>
      <w:r>
        <w:rPr>
          <w:color w:val="0F243E" w:themeColor="text2" w:themeShade="80"/>
        </w:rPr>
        <w:t>9. Allocation of Costs &amp; Resources</w:t>
      </w:r>
    </w:p>
    <w:p w14:paraId="5DD03212" w14:textId="656508D2" w:rsidR="00426212" w:rsidRDefault="00426212" w:rsidP="00426212">
      <w:pPr>
        <w:pStyle w:val="ListBullet"/>
      </w:pPr>
      <w:r>
        <w:t>Each Party will act with fiduciary responsibility to ensure compliance with the PREP Program Allotment requirements.</w:t>
      </w:r>
    </w:p>
    <w:p w14:paraId="043C7FF0" w14:textId="3BA90276" w:rsidR="00EB5F53" w:rsidRDefault="008B3D8A">
      <w:pPr>
        <w:pStyle w:val="ListBullet"/>
      </w:pPr>
      <w:r>
        <w:t>Programmatic Costs: The Parties will develop a plan to address remaining programmatic costs necessary for effective implementation (e.g., quality field supervision, coaching calibration, materials).</w:t>
      </w:r>
    </w:p>
    <w:p w14:paraId="70EE7FF9" w14:textId="10BFD48F" w:rsidR="00EB5F53" w:rsidRDefault="008B3D8A" w:rsidP="00A12CAE">
      <w:pPr>
        <w:pStyle w:val="Heading1"/>
        <w:rPr>
          <w:color w:val="0F243E" w:themeColor="text2" w:themeShade="80"/>
        </w:rPr>
      </w:pPr>
      <w:r>
        <w:rPr>
          <w:color w:val="0F243E" w:themeColor="text2" w:themeShade="80"/>
        </w:rPr>
        <w:t>1</w:t>
      </w:r>
      <w:r w:rsidR="00164930">
        <w:rPr>
          <w:color w:val="0F243E" w:themeColor="text2" w:themeShade="80"/>
        </w:rPr>
        <w:t>0</w:t>
      </w:r>
      <w:r>
        <w:rPr>
          <w:color w:val="0F243E" w:themeColor="text2" w:themeShade="80"/>
        </w:rPr>
        <w:t>. Data Sharing &amp; FERPA</w:t>
      </w:r>
    </w:p>
    <w:p w14:paraId="08B06EA5" w14:textId="77777777" w:rsidR="00EB5F53" w:rsidRDefault="008B3D8A">
      <w:pPr>
        <w:pStyle w:val="ListBullet"/>
      </w:pPr>
      <w:r>
        <w:t>The Parties will share and co-analyze non-identified PK–12 performance data for the purpose of preparing Residents to positively impact PK–12 student learning and for the continuous improvement of the EPP.</w:t>
      </w:r>
    </w:p>
    <w:p w14:paraId="739154BA" w14:textId="77777777" w:rsidR="00EB5F53" w:rsidRDefault="008B3D8A">
      <w:pPr>
        <w:pStyle w:val="ListBullet"/>
      </w:pPr>
      <w:r>
        <w:t>For purposes of the Family Educational Rights and Privacy Act (FERPA), the School System designates __________________________________ ("FERPA Designee") as a school official with a legitimate educational interest to the extent required to fulfill obligations under this Agreement. The FERPA Designee shall comply with FERPA as to any such educational records.</w:t>
      </w:r>
    </w:p>
    <w:p w14:paraId="296C6AE4" w14:textId="795C9A56" w:rsidR="00EB5F53" w:rsidRDefault="008B3D8A" w:rsidP="00A12CAE">
      <w:pPr>
        <w:pStyle w:val="Heading1"/>
        <w:rPr>
          <w:color w:val="0F243E" w:themeColor="text2" w:themeShade="80"/>
        </w:rPr>
      </w:pPr>
      <w:r>
        <w:rPr>
          <w:color w:val="0F243E" w:themeColor="text2" w:themeShade="80"/>
        </w:rPr>
        <w:t>1</w:t>
      </w:r>
      <w:r w:rsidR="00164930">
        <w:rPr>
          <w:color w:val="0F243E" w:themeColor="text2" w:themeShade="80"/>
        </w:rPr>
        <w:t>1</w:t>
      </w:r>
      <w:r>
        <w:rPr>
          <w:color w:val="0F243E" w:themeColor="text2" w:themeShade="80"/>
        </w:rPr>
        <w:t xml:space="preserve">. </w:t>
      </w:r>
      <w:r w:rsidR="00D86C72">
        <w:rPr>
          <w:color w:val="0F243E" w:themeColor="text2" w:themeShade="80"/>
        </w:rPr>
        <w:t xml:space="preserve">Additional </w:t>
      </w:r>
      <w:r>
        <w:rPr>
          <w:color w:val="0F243E" w:themeColor="text2" w:themeShade="80"/>
        </w:rPr>
        <w:t xml:space="preserve">School System </w:t>
      </w:r>
      <w:r w:rsidR="00D86C72">
        <w:rPr>
          <w:color w:val="0F243E" w:themeColor="text2" w:themeShade="80"/>
        </w:rPr>
        <w:t xml:space="preserve">Specific </w:t>
      </w:r>
      <w:r>
        <w:rPr>
          <w:color w:val="0F243E" w:themeColor="text2" w:themeShade="80"/>
        </w:rPr>
        <w:t>Obligations</w:t>
      </w:r>
    </w:p>
    <w:p w14:paraId="51C23E29" w14:textId="77777777" w:rsidR="00EB5F53" w:rsidRPr="00947F42" w:rsidRDefault="008B3D8A" w:rsidP="00947F42">
      <w:pPr>
        <w:pStyle w:val="ListParagraph"/>
        <w:numPr>
          <w:ilvl w:val="0"/>
          <w:numId w:val="11"/>
        </w:numPr>
      </w:pPr>
      <w:r w:rsidRPr="00947F42">
        <w:t>Provide opportunities for Residents to attend School System- and school-level professional development.</w:t>
      </w:r>
    </w:p>
    <w:p w14:paraId="0458A51E" w14:textId="4737A820" w:rsidR="00742C50" w:rsidRPr="00947F42" w:rsidRDefault="00742C50" w:rsidP="00947F42">
      <w:pPr>
        <w:pStyle w:val="ListParagraph"/>
        <w:numPr>
          <w:ilvl w:val="0"/>
          <w:numId w:val="11"/>
        </w:numPr>
        <w:rPr>
          <w:color w:val="000000"/>
        </w:rPr>
      </w:pPr>
      <w:r w:rsidRPr="00947F42">
        <w:rPr>
          <w:color w:val="000000"/>
        </w:rPr>
        <w:t xml:space="preserve">Provide </w:t>
      </w:r>
      <w:r w:rsidR="00947F42">
        <w:rPr>
          <w:color w:val="000000"/>
        </w:rPr>
        <w:t xml:space="preserve">teacher </w:t>
      </w:r>
      <w:proofErr w:type="gramStart"/>
      <w:r w:rsidRPr="00947F42">
        <w:rPr>
          <w:color w:val="000000"/>
        </w:rPr>
        <w:t>residents</w:t>
      </w:r>
      <w:proofErr w:type="gramEnd"/>
      <w:r w:rsidRPr="00947F42">
        <w:rPr>
          <w:color w:val="000000"/>
        </w:rPr>
        <w:t xml:space="preserve"> access to District systems, curriculum, and instructional resources</w:t>
      </w:r>
      <w:r w:rsidR="00947F42">
        <w:rPr>
          <w:color w:val="000000"/>
        </w:rPr>
        <w:t>.</w:t>
      </w:r>
      <w:r w:rsidRPr="00947F42">
        <w:rPr>
          <w:color w:val="000000"/>
        </w:rPr>
        <w:t xml:space="preserve"> </w:t>
      </w:r>
    </w:p>
    <w:p w14:paraId="23D77B25" w14:textId="7A9013E8" w:rsidR="00EB5F53" w:rsidRPr="00947F42" w:rsidRDefault="008B3D8A" w:rsidP="00947F42">
      <w:pPr>
        <w:pStyle w:val="ListParagraph"/>
        <w:numPr>
          <w:ilvl w:val="0"/>
          <w:numId w:val="11"/>
        </w:numPr>
        <w:rPr>
          <w:color w:val="000000"/>
        </w:rPr>
      </w:pPr>
      <w:r w:rsidRPr="00947F42">
        <w:t>Supply facility resources (e.g., meeting space with furnishings and technology) to support partnership activities as available and appropriate.</w:t>
      </w:r>
    </w:p>
    <w:p w14:paraId="1C9C0286" w14:textId="77777777" w:rsidR="00EB5F53" w:rsidRPr="00947F42" w:rsidRDefault="008B3D8A" w:rsidP="00947F42">
      <w:pPr>
        <w:pStyle w:val="ListParagraph"/>
        <w:numPr>
          <w:ilvl w:val="0"/>
          <w:numId w:val="11"/>
        </w:numPr>
      </w:pPr>
      <w:r w:rsidRPr="00947F42">
        <w:t>Permit Resident video recording for licensure and professional development purposes in accordance with School System policy; obtain signed parental consent forms as required.</w:t>
      </w:r>
    </w:p>
    <w:p w14:paraId="28199E7B" w14:textId="56EF1B8F" w:rsidR="00EB5F53" w:rsidRDefault="008B3D8A" w:rsidP="00A12CAE">
      <w:pPr>
        <w:pStyle w:val="Heading1"/>
        <w:rPr>
          <w:color w:val="0F243E" w:themeColor="text2" w:themeShade="80"/>
        </w:rPr>
      </w:pPr>
      <w:r>
        <w:rPr>
          <w:color w:val="0F243E" w:themeColor="text2" w:themeShade="80"/>
        </w:rPr>
        <w:t>1</w:t>
      </w:r>
      <w:r w:rsidR="00164930">
        <w:rPr>
          <w:color w:val="0F243E" w:themeColor="text2" w:themeShade="80"/>
        </w:rPr>
        <w:t>2</w:t>
      </w:r>
      <w:r>
        <w:rPr>
          <w:color w:val="0F243E" w:themeColor="text2" w:themeShade="80"/>
        </w:rPr>
        <w:t xml:space="preserve">. </w:t>
      </w:r>
      <w:r w:rsidR="00D86C72">
        <w:rPr>
          <w:color w:val="0F243E" w:themeColor="text2" w:themeShade="80"/>
        </w:rPr>
        <w:t xml:space="preserve">Additional </w:t>
      </w:r>
      <w:r>
        <w:rPr>
          <w:color w:val="0F243E" w:themeColor="text2" w:themeShade="80"/>
        </w:rPr>
        <w:t xml:space="preserve">EPP </w:t>
      </w:r>
      <w:r w:rsidR="00D86C72">
        <w:rPr>
          <w:color w:val="0F243E" w:themeColor="text2" w:themeShade="80"/>
        </w:rPr>
        <w:t xml:space="preserve">Specific </w:t>
      </w:r>
      <w:r>
        <w:rPr>
          <w:color w:val="0F243E" w:themeColor="text2" w:themeShade="80"/>
        </w:rPr>
        <w:t>Obligations</w:t>
      </w:r>
    </w:p>
    <w:p w14:paraId="1202731B" w14:textId="77777777" w:rsidR="00EB5F53" w:rsidRDefault="008B3D8A">
      <w:pPr>
        <w:pStyle w:val="ListBullet"/>
      </w:pPr>
      <w:r>
        <w:t>Comply with School System policies and procedures and ensure EPP instructors, Site Coordinators/Field Supervisors, and Residents are aware of these policies and procedures.</w:t>
      </w:r>
    </w:p>
    <w:p w14:paraId="03068AB6" w14:textId="5AFC5C66" w:rsidR="00EB5F53" w:rsidRDefault="00742C50">
      <w:pPr>
        <w:pStyle w:val="ListBullet"/>
      </w:pPr>
      <w:r>
        <w:lastRenderedPageBreak/>
        <w:t>Assign qualified</w:t>
      </w:r>
      <w:r w:rsidR="0099256A">
        <w:t xml:space="preserve"> </w:t>
      </w:r>
      <w:r>
        <w:t>Field Supervisor</w:t>
      </w:r>
      <w:r w:rsidR="0099256A">
        <w:t>(s) for teacher resident supervision</w:t>
      </w:r>
      <w:r>
        <w:t xml:space="preserve"> and evaluation and ensure timely communications between the Parties.</w:t>
      </w:r>
    </w:p>
    <w:p w14:paraId="23B764E4" w14:textId="77777777" w:rsidR="00356743" w:rsidRDefault="00821099">
      <w:pPr>
        <w:pStyle w:val="ListBullet"/>
      </w:pPr>
      <w:r>
        <w:t>Ensure compliance will all other requirements for teacher resident preparation pursuant to TAC chapter 228, Educator Preparation Program Requirements.</w:t>
      </w:r>
    </w:p>
    <w:p w14:paraId="274890DE" w14:textId="77777777" w:rsidR="00356743" w:rsidRPr="00356743" w:rsidRDefault="00356743" w:rsidP="00356743">
      <w:pPr>
        <w:pStyle w:val="ListBullet"/>
      </w:pPr>
      <w:r w:rsidRPr="00356743">
        <w:t>Maintain candidate records in accordance with applicable policies and laws.</w:t>
      </w:r>
    </w:p>
    <w:p w14:paraId="25EA6AF8" w14:textId="77777777" w:rsidR="00356743" w:rsidRPr="00356743" w:rsidRDefault="00356743" w:rsidP="00356743">
      <w:pPr>
        <w:pStyle w:val="ListBullet"/>
      </w:pPr>
      <w:r w:rsidRPr="00356743">
        <w:t>Support candidates who fall below academic or professional standards through a documented improvement or growth plan.</w:t>
      </w:r>
    </w:p>
    <w:p w14:paraId="2D166929" w14:textId="77777777" w:rsidR="00356743" w:rsidRDefault="00356743" w:rsidP="00356743">
      <w:pPr>
        <w:pStyle w:val="ListBullet"/>
      </w:pPr>
      <w:r w:rsidRPr="00356743">
        <w:t xml:space="preserve">Remove candidates from placement upon request of the </w:t>
      </w:r>
      <w:proofErr w:type="gramStart"/>
      <w:r w:rsidRPr="00356743">
        <w:t>District</w:t>
      </w:r>
      <w:proofErr w:type="gramEnd"/>
      <w:r w:rsidRPr="00356743">
        <w:t xml:space="preserve"> or when required by EPP policy or law.</w:t>
      </w:r>
    </w:p>
    <w:p w14:paraId="74D3A502" w14:textId="54818BDF" w:rsidR="00821099" w:rsidRDefault="005F066F" w:rsidP="005F066F">
      <w:pPr>
        <w:pStyle w:val="ListBullet"/>
      </w:pPr>
      <w:r>
        <w:t xml:space="preserve">Design differentiated preparation models responsive to District workforce needs, including accelerated and </w:t>
      </w:r>
      <w:proofErr w:type="gramStart"/>
      <w:r>
        <w:t>employment-embedded</w:t>
      </w:r>
      <w:proofErr w:type="gramEnd"/>
      <w:r>
        <w:t xml:space="preserve"> Grow Your Own pathways.</w:t>
      </w:r>
    </w:p>
    <w:p w14:paraId="5AF875FE" w14:textId="7C77C22B" w:rsidR="00EB5F53" w:rsidRDefault="008B3D8A" w:rsidP="00A12CAE">
      <w:pPr>
        <w:pStyle w:val="Heading1"/>
        <w:rPr>
          <w:color w:val="0F243E" w:themeColor="text2" w:themeShade="80"/>
        </w:rPr>
      </w:pPr>
      <w:r>
        <w:rPr>
          <w:color w:val="0F243E" w:themeColor="text2" w:themeShade="80"/>
        </w:rPr>
        <w:t>1</w:t>
      </w:r>
      <w:r w:rsidR="00164930">
        <w:rPr>
          <w:color w:val="0F243E" w:themeColor="text2" w:themeShade="80"/>
        </w:rPr>
        <w:t>3</w:t>
      </w:r>
      <w:r>
        <w:rPr>
          <w:color w:val="0F243E" w:themeColor="text2" w:themeShade="80"/>
        </w:rPr>
        <w:t>. Miscellaneous</w:t>
      </w:r>
    </w:p>
    <w:p w14:paraId="08D36A5E" w14:textId="38043B3A" w:rsidR="00EB5F53" w:rsidRDefault="008B3D8A" w:rsidP="00A12CAE">
      <w:pPr>
        <w:pStyle w:val="Heading2"/>
        <w:rPr>
          <w:color w:val="984806" w:themeColor="accent6" w:themeShade="80"/>
        </w:rPr>
      </w:pPr>
      <w:r>
        <w:rPr>
          <w:color w:val="984806" w:themeColor="accent6" w:themeShade="80"/>
        </w:rPr>
        <w:t>1</w:t>
      </w:r>
      <w:r w:rsidR="00164930">
        <w:rPr>
          <w:color w:val="984806" w:themeColor="accent6" w:themeShade="80"/>
        </w:rPr>
        <w:t>3</w:t>
      </w:r>
      <w:r>
        <w:rPr>
          <w:color w:val="984806" w:themeColor="accent6" w:themeShade="80"/>
        </w:rPr>
        <w:t>.1 Governing Law &amp; Venue</w:t>
      </w:r>
    </w:p>
    <w:p w14:paraId="31A44A80" w14:textId="77777777" w:rsidR="00EB5F53" w:rsidRDefault="008B3D8A">
      <w:r>
        <w:t>This Agreement is made in Texas and shall be governed by and construed in accordance with the laws of the State of Texas. The Parties consent to the exclusive jurisdiction and venue of the federal and state courts located in __________________ County, Texas, in any action arising out of or relating to this Agreement.</w:t>
      </w:r>
    </w:p>
    <w:p w14:paraId="06CAECBE" w14:textId="40FEF83E" w:rsidR="00EB5F53" w:rsidRDefault="008B3D8A" w:rsidP="00A12CAE">
      <w:pPr>
        <w:pStyle w:val="Heading2"/>
        <w:rPr>
          <w:color w:val="984806" w:themeColor="accent6" w:themeShade="80"/>
        </w:rPr>
      </w:pPr>
      <w:r>
        <w:rPr>
          <w:color w:val="984806" w:themeColor="accent6" w:themeShade="80"/>
        </w:rPr>
        <w:t>1</w:t>
      </w:r>
      <w:r w:rsidR="00164930">
        <w:rPr>
          <w:color w:val="984806" w:themeColor="accent6" w:themeShade="80"/>
        </w:rPr>
        <w:t>3</w:t>
      </w:r>
      <w:r>
        <w:rPr>
          <w:color w:val="984806" w:themeColor="accent6" w:themeShade="80"/>
        </w:rPr>
        <w:t>.2 Termination</w:t>
      </w:r>
    </w:p>
    <w:p w14:paraId="31E8D924" w14:textId="77777777" w:rsidR="00EB5F53" w:rsidRDefault="008B3D8A">
      <w:r>
        <w:t>Except as otherwise provided, this Agreement may be terminated by either Party upon six (6) months’ written notice. The Parties will use best efforts to allow sufficient opportunity for Residents to complete the year prior to the effective date of termination. Upon termination, the School System will notify appropriate Texas Education Agency staff of the termination of this Agreement.</w:t>
      </w:r>
    </w:p>
    <w:p w14:paraId="4CDF02AF" w14:textId="0AA0D81F" w:rsidR="00EB5F53" w:rsidRDefault="008B3D8A" w:rsidP="00A12CAE">
      <w:pPr>
        <w:pStyle w:val="Heading2"/>
        <w:rPr>
          <w:color w:val="984806" w:themeColor="accent6" w:themeShade="80"/>
        </w:rPr>
      </w:pPr>
      <w:r>
        <w:rPr>
          <w:color w:val="984806" w:themeColor="accent6" w:themeShade="80"/>
        </w:rPr>
        <w:t>1</w:t>
      </w:r>
      <w:r w:rsidR="00164930">
        <w:rPr>
          <w:color w:val="984806" w:themeColor="accent6" w:themeShade="80"/>
        </w:rPr>
        <w:t>3</w:t>
      </w:r>
      <w:r>
        <w:rPr>
          <w:color w:val="984806" w:themeColor="accent6" w:themeShade="80"/>
        </w:rPr>
        <w:t>.3 Dispute Resolution</w:t>
      </w:r>
    </w:p>
    <w:p w14:paraId="2276CDCA" w14:textId="77777777" w:rsidR="00EB5F53" w:rsidRDefault="008B3D8A">
      <w:r>
        <w:t>The dispute resolution process provided in Chapter 2260, Texas Government Code, and related rules adopted by the Texas Attorney General shall be used by the Parties to resolve any claim for breach of contract that cannot be resolved in the ordinary course of business.</w:t>
      </w:r>
    </w:p>
    <w:p w14:paraId="42C18C88" w14:textId="77777777" w:rsidR="00EB5F53" w:rsidRDefault="008B3D8A" w:rsidP="00A12CAE">
      <w:pPr>
        <w:pStyle w:val="Heading1"/>
        <w:rPr>
          <w:color w:val="0F243E" w:themeColor="text2" w:themeShade="80"/>
        </w:rPr>
      </w:pPr>
      <w:r>
        <w:rPr>
          <w:color w:val="0F243E" w:themeColor="text2" w:themeShade="80"/>
        </w:rPr>
        <w:t>Signatures</w:t>
      </w:r>
    </w:p>
    <w:p w14:paraId="1639288E" w14:textId="77777777" w:rsidR="00EB5F53" w:rsidRDefault="008B3D8A">
      <w:r>
        <w:t>IN WITNESS WHEREOF, the Parties to this Agreement, through their duly authorized representatives, have executed this Agreement and certify that they have read, understood, and agreed to its terms. This Agreement may be executed in counterparts, each of which is deemed an original, and delivered electronically with the same legal effect as an original.</w:t>
      </w:r>
    </w:p>
    <w:p w14:paraId="29D59FB0" w14:textId="77777777" w:rsidR="00EB5F53" w:rsidRDefault="008B3D8A" w:rsidP="00A12CAE">
      <w:pPr>
        <w:pStyle w:val="Heading2"/>
        <w:rPr>
          <w:color w:val="984806" w:themeColor="accent6" w:themeShade="80"/>
        </w:rPr>
      </w:pPr>
      <w:r>
        <w:rPr>
          <w:color w:val="984806" w:themeColor="accent6" w:themeShade="80"/>
        </w:rPr>
        <w:t>School System (Superintendent’s Designee)</w:t>
      </w:r>
    </w:p>
    <w:p w14:paraId="035BDD16" w14:textId="77777777" w:rsidR="00EB5F53" w:rsidRDefault="008B3D8A">
      <w:pPr>
        <w:pStyle w:val="ListBullet"/>
      </w:pPr>
      <w:r>
        <w:t>Signature: ________________________________</w:t>
      </w:r>
    </w:p>
    <w:p w14:paraId="763D46AB" w14:textId="77777777" w:rsidR="00EB5F53" w:rsidRDefault="008B3D8A">
      <w:pPr>
        <w:pStyle w:val="ListBullet"/>
      </w:pPr>
      <w:r>
        <w:t>Name: ____________________________________</w:t>
      </w:r>
    </w:p>
    <w:p w14:paraId="27CCF85F" w14:textId="77777777" w:rsidR="00EB5F53" w:rsidRDefault="008B3D8A">
      <w:pPr>
        <w:pStyle w:val="ListBullet"/>
      </w:pPr>
      <w:r>
        <w:lastRenderedPageBreak/>
        <w:t>Title: _____________________________________</w:t>
      </w:r>
    </w:p>
    <w:p w14:paraId="7D611DDD" w14:textId="77777777" w:rsidR="00EB5F53" w:rsidRDefault="008B3D8A">
      <w:pPr>
        <w:pStyle w:val="ListBullet"/>
      </w:pPr>
      <w:r>
        <w:t>Date: _____________________________________</w:t>
      </w:r>
    </w:p>
    <w:p w14:paraId="11C3A0D2" w14:textId="77777777" w:rsidR="00EB5F53" w:rsidRDefault="008B3D8A" w:rsidP="00A12CAE">
      <w:pPr>
        <w:pStyle w:val="Heading2"/>
        <w:rPr>
          <w:color w:val="984806" w:themeColor="accent6" w:themeShade="80"/>
        </w:rPr>
      </w:pPr>
      <w:r>
        <w:rPr>
          <w:color w:val="984806" w:themeColor="accent6" w:themeShade="80"/>
        </w:rPr>
        <w:t>School System (Program Manager)</w:t>
      </w:r>
    </w:p>
    <w:p w14:paraId="18FD63BF" w14:textId="77777777" w:rsidR="00EB5F53" w:rsidRDefault="008B3D8A">
      <w:pPr>
        <w:pStyle w:val="ListBullet"/>
      </w:pPr>
      <w:r>
        <w:t>Signature: ________________________________</w:t>
      </w:r>
    </w:p>
    <w:p w14:paraId="4BE8467E" w14:textId="77777777" w:rsidR="00EB5F53" w:rsidRDefault="008B3D8A">
      <w:pPr>
        <w:pStyle w:val="ListBullet"/>
      </w:pPr>
      <w:r>
        <w:t>Name: ____________________________________</w:t>
      </w:r>
    </w:p>
    <w:p w14:paraId="28E51AC7" w14:textId="77777777" w:rsidR="00EB5F53" w:rsidRDefault="008B3D8A">
      <w:pPr>
        <w:pStyle w:val="ListBullet"/>
      </w:pPr>
      <w:r>
        <w:t>Title: _____________________________________</w:t>
      </w:r>
    </w:p>
    <w:p w14:paraId="7841174F" w14:textId="77777777" w:rsidR="00EB5F53" w:rsidRDefault="008B3D8A">
      <w:pPr>
        <w:pStyle w:val="ListBullet"/>
      </w:pPr>
      <w:r>
        <w:t>Date: _____________________________________</w:t>
      </w:r>
    </w:p>
    <w:p w14:paraId="74283BCA" w14:textId="77777777" w:rsidR="00EB5F53" w:rsidRDefault="008B3D8A" w:rsidP="00A12CAE">
      <w:pPr>
        <w:pStyle w:val="Heading2"/>
        <w:rPr>
          <w:color w:val="984806" w:themeColor="accent6" w:themeShade="80"/>
        </w:rPr>
      </w:pPr>
      <w:r>
        <w:rPr>
          <w:color w:val="984806" w:themeColor="accent6" w:themeShade="80"/>
        </w:rPr>
        <w:t>EPP (Legal Authority)</w:t>
      </w:r>
    </w:p>
    <w:p w14:paraId="468AAB98" w14:textId="77777777" w:rsidR="00EB5F53" w:rsidRDefault="008B3D8A">
      <w:pPr>
        <w:pStyle w:val="ListBullet"/>
      </w:pPr>
      <w:r>
        <w:t>Signature: ________________________________</w:t>
      </w:r>
    </w:p>
    <w:p w14:paraId="50E5BFC2" w14:textId="77777777" w:rsidR="00EB5F53" w:rsidRDefault="008B3D8A">
      <w:pPr>
        <w:pStyle w:val="ListBullet"/>
      </w:pPr>
      <w:r>
        <w:t>Name: ____________________________________</w:t>
      </w:r>
    </w:p>
    <w:p w14:paraId="18FA51A4" w14:textId="77777777" w:rsidR="00EB5F53" w:rsidRDefault="008B3D8A">
      <w:pPr>
        <w:pStyle w:val="ListBullet"/>
      </w:pPr>
      <w:r>
        <w:t>Title: _____________________________________</w:t>
      </w:r>
    </w:p>
    <w:p w14:paraId="561AC416" w14:textId="77777777" w:rsidR="00EB5F53" w:rsidRDefault="008B3D8A">
      <w:pPr>
        <w:pStyle w:val="ListBullet"/>
      </w:pPr>
      <w:r>
        <w:t>Date: _____________________________________</w:t>
      </w:r>
    </w:p>
    <w:p w14:paraId="5BE17315" w14:textId="77777777" w:rsidR="00EB5F53" w:rsidRDefault="008B3D8A" w:rsidP="00A12CAE">
      <w:pPr>
        <w:pStyle w:val="Heading2"/>
        <w:rPr>
          <w:color w:val="984806" w:themeColor="accent6" w:themeShade="80"/>
        </w:rPr>
      </w:pPr>
      <w:r>
        <w:rPr>
          <w:color w:val="984806" w:themeColor="accent6" w:themeShade="80"/>
        </w:rPr>
        <w:t>EPP (Residency Program Leadership)</w:t>
      </w:r>
    </w:p>
    <w:p w14:paraId="7308C677" w14:textId="77777777" w:rsidR="00EB5F53" w:rsidRDefault="008B3D8A">
      <w:pPr>
        <w:pStyle w:val="ListBullet"/>
      </w:pPr>
      <w:r>
        <w:t>Signature: ________________________________</w:t>
      </w:r>
    </w:p>
    <w:p w14:paraId="32B2BB44" w14:textId="77777777" w:rsidR="00EB5F53" w:rsidRDefault="008B3D8A">
      <w:pPr>
        <w:pStyle w:val="ListBullet"/>
      </w:pPr>
      <w:r>
        <w:t>Name: ____________________________________</w:t>
      </w:r>
    </w:p>
    <w:p w14:paraId="0DC6F93F" w14:textId="77777777" w:rsidR="00EB5F53" w:rsidRDefault="008B3D8A">
      <w:pPr>
        <w:pStyle w:val="ListBullet"/>
      </w:pPr>
      <w:r>
        <w:t>Title: _____________________________________</w:t>
      </w:r>
    </w:p>
    <w:p w14:paraId="25549BB0" w14:textId="77777777" w:rsidR="00EB5F53" w:rsidRDefault="008B3D8A">
      <w:pPr>
        <w:pStyle w:val="ListBullet"/>
      </w:pPr>
      <w:r>
        <w:t>Date: _____________________________________</w:t>
      </w:r>
    </w:p>
    <w:sectPr w:rsidR="00EB5F5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04499C"/>
    <w:multiLevelType w:val="multilevel"/>
    <w:tmpl w:val="07B60D2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D592696"/>
    <w:multiLevelType w:val="multilevel"/>
    <w:tmpl w:val="07B60D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718A5"/>
    <w:multiLevelType w:val="multilevel"/>
    <w:tmpl w:val="07B60D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C0275"/>
    <w:multiLevelType w:val="multilevel"/>
    <w:tmpl w:val="ED8A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454738">
    <w:abstractNumId w:val="8"/>
  </w:num>
  <w:num w:numId="2" w16cid:durableId="1051148002">
    <w:abstractNumId w:val="6"/>
  </w:num>
  <w:num w:numId="3" w16cid:durableId="524366655">
    <w:abstractNumId w:val="5"/>
  </w:num>
  <w:num w:numId="4" w16cid:durableId="1206452573">
    <w:abstractNumId w:val="4"/>
  </w:num>
  <w:num w:numId="5" w16cid:durableId="77791556">
    <w:abstractNumId w:val="7"/>
  </w:num>
  <w:num w:numId="6" w16cid:durableId="364252928">
    <w:abstractNumId w:val="3"/>
  </w:num>
  <w:num w:numId="7" w16cid:durableId="573780350">
    <w:abstractNumId w:val="2"/>
  </w:num>
  <w:num w:numId="8" w16cid:durableId="338696579">
    <w:abstractNumId w:val="1"/>
  </w:num>
  <w:num w:numId="9" w16cid:durableId="1378313250">
    <w:abstractNumId w:val="0"/>
  </w:num>
  <w:num w:numId="10" w16cid:durableId="1947613793">
    <w:abstractNumId w:val="11"/>
  </w:num>
  <w:num w:numId="11" w16cid:durableId="333192518">
    <w:abstractNumId w:val="10"/>
  </w:num>
  <w:num w:numId="12" w16cid:durableId="567570441">
    <w:abstractNumId w:val="9"/>
  </w:num>
  <w:num w:numId="13" w16cid:durableId="66932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930"/>
    <w:rsid w:val="0029493F"/>
    <w:rsid w:val="0029639D"/>
    <w:rsid w:val="00326F90"/>
    <w:rsid w:val="00356743"/>
    <w:rsid w:val="00394C00"/>
    <w:rsid w:val="00426212"/>
    <w:rsid w:val="005E1839"/>
    <w:rsid w:val="005F066F"/>
    <w:rsid w:val="0061285C"/>
    <w:rsid w:val="00614D82"/>
    <w:rsid w:val="0072758A"/>
    <w:rsid w:val="007416D4"/>
    <w:rsid w:val="00742C50"/>
    <w:rsid w:val="007B6034"/>
    <w:rsid w:val="00821099"/>
    <w:rsid w:val="008B3D8A"/>
    <w:rsid w:val="008C6E0C"/>
    <w:rsid w:val="00914994"/>
    <w:rsid w:val="00947F42"/>
    <w:rsid w:val="0098074F"/>
    <w:rsid w:val="0099256A"/>
    <w:rsid w:val="00A12CAE"/>
    <w:rsid w:val="00A276FB"/>
    <w:rsid w:val="00A30796"/>
    <w:rsid w:val="00A3326F"/>
    <w:rsid w:val="00A90959"/>
    <w:rsid w:val="00AA1D8D"/>
    <w:rsid w:val="00B47730"/>
    <w:rsid w:val="00BE7C46"/>
    <w:rsid w:val="00C33FCD"/>
    <w:rsid w:val="00CB0664"/>
    <w:rsid w:val="00D86C72"/>
    <w:rsid w:val="00EB5F53"/>
    <w:rsid w:val="00ED1F4E"/>
    <w:rsid w:val="00F07C13"/>
    <w:rsid w:val="00F6031F"/>
    <w:rsid w:val="00F6671A"/>
    <w:rsid w:val="00FC693F"/>
    <w:rsid w:val="00FE2205"/>
    <w:rsid w:val="0FF1F4B4"/>
    <w:rsid w:val="18881820"/>
    <w:rsid w:val="1DC0C53D"/>
    <w:rsid w:val="732CE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40311"/>
  <w14:defaultImageDpi w14:val="300"/>
  <w15:docId w15:val="{184B9508-C149-4B9C-9F6F-A2B4DE48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A12CAE"/>
    <w:pPr>
      <w:keepNext/>
      <w:keepLines/>
      <w:spacing w:before="480" w:after="0"/>
      <w:outlineLvl w:val="0"/>
    </w:pPr>
    <w:rPr>
      <w:rFonts w:asciiTheme="majorHAnsi" w:eastAsiaTheme="majorEastAsia" w:hAnsiTheme="majorHAnsi" w:cstheme="majorBidi"/>
      <w:b/>
      <w:bCs/>
      <w:color w:val="0F243E" w:themeColor="text2" w:themeShade="80"/>
      <w:sz w:val="28"/>
      <w:szCs w:val="28"/>
    </w:rPr>
  </w:style>
  <w:style w:type="paragraph" w:styleId="Heading2">
    <w:name w:val="heading 2"/>
    <w:basedOn w:val="Normal"/>
    <w:next w:val="Normal"/>
    <w:link w:val="Heading2Char"/>
    <w:uiPriority w:val="9"/>
    <w:unhideWhenUsed/>
    <w:qFormat/>
    <w:rsid w:val="00A12CAE"/>
    <w:pPr>
      <w:keepNext/>
      <w:keepLines/>
      <w:spacing w:before="200" w:after="0"/>
      <w:outlineLvl w:val="1"/>
    </w:pPr>
    <w:rPr>
      <w:rFonts w:asciiTheme="majorHAnsi" w:eastAsiaTheme="majorEastAsia" w:hAnsiTheme="majorHAnsi" w:cstheme="majorBidi"/>
      <w:b/>
      <w:bCs/>
      <w:color w:val="984806" w:themeColor="accent6" w:themeShade="8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12CAE"/>
    <w:rPr>
      <w:rFonts w:asciiTheme="majorHAnsi" w:eastAsiaTheme="majorEastAsia" w:hAnsiTheme="majorHAnsi" w:cstheme="majorBidi"/>
      <w:b/>
      <w:bCs/>
      <w:color w:val="0F243E" w:themeColor="text2" w:themeShade="80"/>
      <w:sz w:val="28"/>
      <w:szCs w:val="28"/>
    </w:rPr>
  </w:style>
  <w:style w:type="character" w:customStyle="1" w:styleId="Heading2Char">
    <w:name w:val="Heading 2 Char"/>
    <w:basedOn w:val="DefaultParagraphFont"/>
    <w:link w:val="Heading2"/>
    <w:uiPriority w:val="9"/>
    <w:rsid w:val="00A12CAE"/>
    <w:rPr>
      <w:rFonts w:asciiTheme="majorHAnsi" w:eastAsiaTheme="majorEastAsia" w:hAnsiTheme="majorHAnsi" w:cstheme="majorBidi"/>
      <w:b/>
      <w:bCs/>
      <w:color w:val="984806" w:themeColor="accent6" w:themeShade="80"/>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12CAE"/>
    <w:pPr>
      <w:spacing w:after="0"/>
      <w:jc w:val="center"/>
    </w:pPr>
    <w:rPr>
      <w:b/>
      <w:bCs/>
      <w:sz w:val="32"/>
      <w:szCs w:val="32"/>
    </w:rPr>
  </w:style>
  <w:style w:type="character" w:customStyle="1" w:styleId="TitleChar">
    <w:name w:val="Title Char"/>
    <w:basedOn w:val="DefaultParagraphFont"/>
    <w:link w:val="Title"/>
    <w:uiPriority w:val="10"/>
    <w:rsid w:val="00A12CAE"/>
    <w:rPr>
      <w:b/>
      <w:bCs/>
      <w:sz w:val="32"/>
      <w:szCs w:val="3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color w:val="0F243E" w:themeColor="text2" w:themeShade="80"/>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0796"/>
    <w:rPr>
      <w:sz w:val="16"/>
      <w:szCs w:val="16"/>
    </w:rPr>
  </w:style>
  <w:style w:type="paragraph" w:styleId="CommentText">
    <w:name w:val="annotation text"/>
    <w:basedOn w:val="Normal"/>
    <w:link w:val="CommentTextChar"/>
    <w:uiPriority w:val="99"/>
    <w:unhideWhenUsed/>
    <w:rsid w:val="00A30796"/>
    <w:pPr>
      <w:spacing w:line="240" w:lineRule="auto"/>
    </w:pPr>
    <w:rPr>
      <w:sz w:val="20"/>
      <w:szCs w:val="20"/>
    </w:rPr>
  </w:style>
  <w:style w:type="character" w:customStyle="1" w:styleId="CommentTextChar">
    <w:name w:val="Comment Text Char"/>
    <w:basedOn w:val="DefaultParagraphFont"/>
    <w:link w:val="CommentText"/>
    <w:uiPriority w:val="99"/>
    <w:rsid w:val="00A30796"/>
    <w:rPr>
      <w:sz w:val="20"/>
      <w:szCs w:val="20"/>
    </w:rPr>
  </w:style>
  <w:style w:type="paragraph" w:styleId="CommentSubject">
    <w:name w:val="annotation subject"/>
    <w:basedOn w:val="CommentText"/>
    <w:next w:val="CommentText"/>
    <w:link w:val="CommentSubjectChar"/>
    <w:uiPriority w:val="99"/>
    <w:semiHidden/>
    <w:unhideWhenUsed/>
    <w:rsid w:val="00A30796"/>
    <w:rPr>
      <w:b/>
      <w:bCs/>
    </w:rPr>
  </w:style>
  <w:style w:type="character" w:customStyle="1" w:styleId="CommentSubjectChar">
    <w:name w:val="Comment Subject Char"/>
    <w:basedOn w:val="CommentTextChar"/>
    <w:link w:val="CommentSubject"/>
    <w:uiPriority w:val="99"/>
    <w:semiHidden/>
    <w:rsid w:val="00A30796"/>
    <w:rPr>
      <w:b/>
      <w:bCs/>
      <w:sz w:val="20"/>
      <w:szCs w:val="20"/>
    </w:rPr>
  </w:style>
  <w:style w:type="paragraph" w:styleId="NormalWeb">
    <w:name w:val="Normal (Web)"/>
    <w:basedOn w:val="Normal"/>
    <w:uiPriority w:val="99"/>
    <w:semiHidden/>
    <w:unhideWhenUsed/>
    <w:rsid w:val="005F06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2ED1594A0142A12CD3586A681668" ma:contentTypeVersion="22" ma:contentTypeDescription="Create a new document." ma:contentTypeScope="" ma:versionID="2aeebff5bf15c292b26655cbd83ca3ec">
  <xsd:schema xmlns:xsd="http://www.w3.org/2001/XMLSchema" xmlns:xs="http://www.w3.org/2001/XMLSchema" xmlns:p="http://schemas.microsoft.com/office/2006/metadata/properties" xmlns:ns2="7452b7a5-f25b-48ad-92b5-0d2dd5858604" xmlns:ns3="f642e440-a1bb-4774-839e-f4f25b594622" targetNamespace="http://schemas.microsoft.com/office/2006/metadata/properties" ma:root="true" ma:fieldsID="bba5b9a1957eda8495b4180dc72f82ef" ns2:_="" ns3:_="">
    <xsd:import namespace="7452b7a5-f25b-48ad-92b5-0d2dd5858604"/>
    <xsd:import namespace="f642e440-a1bb-4774-839e-f4f25b594622"/>
    <xsd:element name="properties">
      <xsd:complexType>
        <xsd:sequence>
          <xsd:element name="documentManagement">
            <xsd:complexType>
              <xsd:all>
                <xsd:element ref="ns2:Upload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etingTopic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b7a5-f25b-48ad-92b5-0d2dd5858604" elementFormDefault="qualified">
    <xsd:import namespace="http://schemas.microsoft.com/office/2006/documentManagement/types"/>
    <xsd:import namespace="http://schemas.microsoft.com/office/infopath/2007/PartnerControls"/>
    <xsd:element name="Uploaded" ma:index="2" nillable="true" ma:displayName="Uploaded" ma:default="No" ma:format="Dropdown" ma:internalName="Uploade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etingTopics" ma:index="27" nillable="true" ma:displayName="Meeting Topics" ma:format="Dropdown" ma:internalName="MeetingTopic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2e440-a1bb-4774-839e-f4f25b59462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c910b7dd-c597-4c40-9e64-764e2facc972}" ma:internalName="TaxCatchAll" ma:showField="CatchAllData" ma:web="f642e440-a1bb-4774-839e-f4f25b594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2b7a5-f25b-48ad-92b5-0d2dd5858604">
      <Terms xmlns="http://schemas.microsoft.com/office/infopath/2007/PartnerControls"/>
    </lcf76f155ced4ddcb4097134ff3c332f>
    <Uploaded xmlns="7452b7a5-f25b-48ad-92b5-0d2dd5858604">No</Uploaded>
    <TaxCatchAll xmlns="f642e440-a1bb-4774-839e-f4f25b594622" xsi:nil="true"/>
    <MeetingTopics xmlns="7452b7a5-f25b-48ad-92b5-0d2dd58586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EF0CA-9D60-4774-8700-39B03B15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b7a5-f25b-48ad-92b5-0d2dd5858604"/>
    <ds:schemaRef ds:uri="f642e440-a1bb-4774-839e-f4f25b59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81A0E-69B9-49FA-A248-A05735D32077}">
  <ds:schemaRefs>
    <ds:schemaRef ds:uri="http://schemas.microsoft.com/office/2006/metadata/properties"/>
    <ds:schemaRef ds:uri="http://purl.org/dc/elements/1.1/"/>
    <ds:schemaRef ds:uri="f642e440-a1bb-4774-839e-f4f25b594622"/>
    <ds:schemaRef ds:uri="http://schemas.openxmlformats.org/package/2006/metadata/core-properties"/>
    <ds:schemaRef ds:uri="http://purl.org/dc/terms/"/>
    <ds:schemaRef ds:uri="7452b7a5-f25b-48ad-92b5-0d2dd5858604"/>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1929A9E-9596-456A-BD66-E61D492B3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8225</Characters>
  <Application>Microsoft Office Word</Application>
  <DocSecurity>0</DocSecurity>
  <Lines>152</Lines>
  <Paragraphs>101</Paragraphs>
  <ScaleCrop>false</ScaleCrop>
  <Manager/>
  <Company/>
  <LinksUpToDate>false</LinksUpToDate>
  <CharactersWithSpaces>9347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Bodnar, Scott</cp:lastModifiedBy>
  <cp:revision>3</cp:revision>
  <dcterms:created xsi:type="dcterms:W3CDTF">2026-03-16T19:08:00Z</dcterms:created>
  <dcterms:modified xsi:type="dcterms:W3CDTF">2026-03-16T19:36:00Z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0x010100A5A92ED1594A0142A12CD3586A681668</vt:lpwstr>
  </property>
  <property fmtid="{D5CDD505-2E9C-101B-9397-08002B2CF9AE}" pid="3" name="MediaServiceImageTags">
    <vt:lpwstr/>
  </property>
</Properties>
</file>