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C4A0" w14:textId="77777777" w:rsidR="005A64DB" w:rsidRPr="00BB4DE1" w:rsidRDefault="005A64DB" w:rsidP="005A64DB">
      <w:pPr>
        <w:rPr>
          <w:sz w:val="20"/>
          <w:szCs w:val="20"/>
          <w:lang w:val="es-US"/>
        </w:rPr>
      </w:pPr>
    </w:p>
    <w:p w14:paraId="71437FFE" w14:textId="123E6022" w:rsidR="00B649B4" w:rsidRPr="00BB4DE1" w:rsidRDefault="7D935AEF" w:rsidP="005A64DB">
      <w:pPr>
        <w:pStyle w:val="Heading1"/>
        <w:rPr>
          <w:sz w:val="28"/>
          <w:szCs w:val="28"/>
          <w:lang w:val="es-US"/>
        </w:rPr>
      </w:pPr>
      <w:r w:rsidRPr="00BB4DE1">
        <w:rPr>
          <w:sz w:val="28"/>
          <w:szCs w:val="28"/>
          <w:lang w:val="es-US"/>
        </w:rPr>
        <w:t>Preguntas y respuestas:</w:t>
      </w:r>
      <w:r w:rsidR="00384B56" w:rsidRPr="00BB4DE1">
        <w:rPr>
          <w:sz w:val="28"/>
          <w:szCs w:val="28"/>
          <w:lang w:val="es-US"/>
        </w:rPr>
        <w:t xml:space="preserve"> </w:t>
      </w:r>
      <w:r w:rsidRPr="00BB4DE1">
        <w:rPr>
          <w:sz w:val="28"/>
          <w:szCs w:val="28"/>
          <w:lang w:val="es-US"/>
        </w:rPr>
        <w:t>estrategias de intervención y expedientes estudiantiles</w:t>
      </w:r>
    </w:p>
    <w:p w14:paraId="3FF22505" w14:textId="18502C62" w:rsidR="00DA4FC5" w:rsidRPr="00BB4DE1" w:rsidRDefault="7D935AEF" w:rsidP="005A64DB">
      <w:pPr>
        <w:rPr>
          <w:sz w:val="20"/>
          <w:szCs w:val="20"/>
          <w:lang w:val="es-US"/>
        </w:rPr>
      </w:pPr>
      <w:r w:rsidRPr="00BB4DE1">
        <w:rPr>
          <w:sz w:val="20"/>
          <w:szCs w:val="20"/>
          <w:lang w:val="es-US"/>
        </w:rPr>
        <w:t>El capítulo 26 del Código de Educación de Texas (TEC) aborda los derechos y responsabilidades de los padres.</w:t>
      </w:r>
      <w:r w:rsidR="00323C84" w:rsidRPr="00BB4DE1">
        <w:rPr>
          <w:sz w:val="20"/>
          <w:szCs w:val="20"/>
          <w:lang w:val="es-US"/>
        </w:rPr>
        <w:t xml:space="preserve"> </w:t>
      </w:r>
      <w:r w:rsidRPr="00BB4DE1">
        <w:rPr>
          <w:sz w:val="20"/>
          <w:szCs w:val="20"/>
          <w:lang w:val="es-US"/>
        </w:rPr>
        <w:t>Uno de esos derechos es que los padres tengan acceso a los expedientes estudiantiles de su hijo.</w:t>
      </w:r>
      <w:r w:rsidR="00587C1C" w:rsidRPr="00BB4DE1">
        <w:rPr>
          <w:sz w:val="20"/>
          <w:szCs w:val="20"/>
          <w:lang w:val="es-US"/>
        </w:rPr>
        <w:t xml:space="preserve"> </w:t>
      </w:r>
      <w:r w:rsidRPr="00BB4DE1">
        <w:rPr>
          <w:sz w:val="20"/>
          <w:szCs w:val="20"/>
          <w:lang w:val="es-US"/>
        </w:rPr>
        <w:t>Los padres también tienen derecho de acceso a expedientes estudiantiles en virtud de la Ley de Derechos Educativos y Privacidad Familiar (FERPA). Los padres con hijos que reciban educación especial y servicios relacionados también tienen derecho de acceso a dichos expedientes, tal como se describe en la Ley de Educación para Individuos con Discapacidades (IDEA).</w:t>
      </w:r>
      <w:r w:rsidR="007B1FE7" w:rsidRPr="00BB4DE1">
        <w:rPr>
          <w:sz w:val="20"/>
          <w:szCs w:val="20"/>
          <w:lang w:val="es-US"/>
        </w:rPr>
        <w:t xml:space="preserve"> </w:t>
      </w:r>
      <w:r w:rsidRPr="00BB4DE1">
        <w:rPr>
          <w:sz w:val="20"/>
          <w:szCs w:val="20"/>
          <w:lang w:val="es-US"/>
        </w:rPr>
        <w:t>La información facilitada a continuación tiene como objetivo describir algunos de los requisitos de la legislación estatal con respecto al derecho de los padres de acceso a determinados expedientes y los requisitos de notificación a los padres, que pueden ser adicionales a aquellos exigidos por las leyes federales.</w:t>
      </w:r>
      <w:r w:rsidR="004A6501" w:rsidRPr="00BB4DE1">
        <w:rPr>
          <w:sz w:val="20"/>
          <w:szCs w:val="20"/>
          <w:lang w:val="es-US"/>
        </w:rPr>
        <w:t xml:space="preserve"> </w:t>
      </w:r>
      <w:r w:rsidRPr="00BB4DE1">
        <w:rPr>
          <w:sz w:val="20"/>
          <w:szCs w:val="20"/>
          <w:lang w:val="es-US"/>
        </w:rPr>
        <w:t>La información no es exclusiva de los derechos de acceso de los padres de estudiantes con discapacidades, a menos que se indique otra cuestión.</w:t>
      </w:r>
      <w:r w:rsidR="004A6501" w:rsidRPr="00BB4DE1">
        <w:rPr>
          <w:sz w:val="20"/>
          <w:szCs w:val="20"/>
          <w:lang w:val="es-US"/>
        </w:rPr>
        <w:t xml:space="preserve"> </w:t>
      </w:r>
    </w:p>
    <w:p w14:paraId="38E777F5" w14:textId="77777777" w:rsidR="005A64DB" w:rsidRPr="00BB4DE1" w:rsidRDefault="005A64DB" w:rsidP="005A64DB">
      <w:pPr>
        <w:rPr>
          <w:sz w:val="20"/>
          <w:szCs w:val="20"/>
          <w:lang w:val="es-US"/>
        </w:rPr>
      </w:pPr>
    </w:p>
    <w:p w14:paraId="79434135" w14:textId="46B9AE17" w:rsidR="00D634E9" w:rsidRPr="00BB4DE1" w:rsidRDefault="7D935AEF" w:rsidP="005A64DB">
      <w:pPr>
        <w:pStyle w:val="Heading2"/>
        <w:rPr>
          <w:sz w:val="22"/>
          <w:szCs w:val="22"/>
          <w:lang w:val="es-US"/>
        </w:rPr>
      </w:pPr>
      <w:r w:rsidRPr="00BB4DE1">
        <w:rPr>
          <w:sz w:val="22"/>
          <w:szCs w:val="22"/>
          <w:lang w:val="es-US"/>
        </w:rPr>
        <w:t>¿A qué expedientes tiene derecho en concreto un(a) padre (madre) a acceder, de conformidad con el Código de Educación de Texas (TEC)?</w:t>
      </w:r>
      <w:r w:rsidR="000F26CE" w:rsidRPr="00BB4DE1">
        <w:rPr>
          <w:sz w:val="22"/>
          <w:szCs w:val="22"/>
          <w:lang w:val="es-US"/>
        </w:rPr>
        <w:t xml:space="preserve"> </w:t>
      </w:r>
    </w:p>
    <w:p w14:paraId="017FAC33" w14:textId="76463578" w:rsidR="000F26CE" w:rsidRPr="00BB4DE1" w:rsidRDefault="7D935AEF" w:rsidP="005A64DB">
      <w:pPr>
        <w:rPr>
          <w:sz w:val="20"/>
          <w:szCs w:val="20"/>
          <w:lang w:val="es-US"/>
        </w:rPr>
      </w:pPr>
      <w:r w:rsidRPr="00BB4DE1">
        <w:rPr>
          <w:color w:val="231F20"/>
          <w:sz w:val="20"/>
          <w:szCs w:val="20"/>
          <w:lang w:val="es-US"/>
        </w:rPr>
        <w:t>Además del derecho a acceder a copias de evaluaciones estatales (en virtud de la sección 26.005 del Código de Educación de Texas [TEC §26.005]) y a materiales de enseñanza (de conformidad con la sección 26.006 del Código de Educación de Texas [TEC §26.006]), un(a) padre (madre) tiene derecho a acceder a todos los expedientes escritos relacionados con su hijo (en consonancia con la sección 26.004 del Código de Educación de Texas [TEC §26.004]), incluyendo los siguientes:</w:t>
      </w:r>
      <w:r w:rsidR="001D11CE" w:rsidRPr="00BB4DE1">
        <w:rPr>
          <w:sz w:val="20"/>
          <w:szCs w:val="20"/>
          <w:lang w:val="es-US"/>
        </w:rPr>
        <w:t xml:space="preserve"> </w:t>
      </w:r>
    </w:p>
    <w:p w14:paraId="79434137" w14:textId="77777777" w:rsidR="00D634E9" w:rsidRPr="00BB4DE1" w:rsidRDefault="7D935AEF" w:rsidP="00206661">
      <w:pPr>
        <w:pStyle w:val="ListParagraph"/>
        <w:spacing w:after="0"/>
        <w:rPr>
          <w:sz w:val="20"/>
          <w:szCs w:val="20"/>
          <w:lang w:val="es-US"/>
        </w:rPr>
      </w:pPr>
      <w:r w:rsidRPr="00BB4DE1">
        <w:rPr>
          <w:sz w:val="20"/>
          <w:szCs w:val="20"/>
          <w:lang w:val="es-US"/>
        </w:rPr>
        <w:t>Expedientes de asistencia;</w:t>
      </w:r>
    </w:p>
    <w:p w14:paraId="79434138" w14:textId="77777777" w:rsidR="00D634E9" w:rsidRPr="00BB4DE1" w:rsidRDefault="7D935AEF" w:rsidP="00206661">
      <w:pPr>
        <w:pStyle w:val="ListParagraph"/>
        <w:spacing w:before="0" w:after="0"/>
        <w:rPr>
          <w:sz w:val="20"/>
          <w:szCs w:val="20"/>
          <w:lang w:val="es-US"/>
        </w:rPr>
      </w:pPr>
      <w:r w:rsidRPr="00BB4DE1">
        <w:rPr>
          <w:sz w:val="20"/>
          <w:szCs w:val="20"/>
          <w:lang w:val="es-US"/>
        </w:rPr>
        <w:t>Puntajes en exámenes;</w:t>
      </w:r>
    </w:p>
    <w:p w14:paraId="79434139" w14:textId="77777777" w:rsidR="00D634E9" w:rsidRPr="00BB4DE1" w:rsidRDefault="7D935AEF" w:rsidP="00206661">
      <w:pPr>
        <w:pStyle w:val="ListParagraph"/>
        <w:spacing w:before="0" w:after="0"/>
        <w:rPr>
          <w:sz w:val="20"/>
          <w:szCs w:val="20"/>
          <w:lang w:val="es-US"/>
        </w:rPr>
      </w:pPr>
      <w:r w:rsidRPr="00BB4DE1">
        <w:rPr>
          <w:sz w:val="20"/>
          <w:szCs w:val="20"/>
          <w:lang w:val="es-US"/>
        </w:rPr>
        <w:t>Calificaciones;</w:t>
      </w:r>
    </w:p>
    <w:p w14:paraId="7943413A" w14:textId="77777777" w:rsidR="00D634E9" w:rsidRPr="00BB4DE1" w:rsidRDefault="7D935AEF" w:rsidP="00206661">
      <w:pPr>
        <w:pStyle w:val="ListParagraph"/>
        <w:spacing w:before="0" w:after="0"/>
        <w:rPr>
          <w:sz w:val="20"/>
          <w:szCs w:val="20"/>
          <w:lang w:val="es-US"/>
        </w:rPr>
      </w:pPr>
      <w:r w:rsidRPr="00BB4DE1">
        <w:rPr>
          <w:sz w:val="20"/>
          <w:szCs w:val="20"/>
          <w:lang w:val="es-US"/>
        </w:rPr>
        <w:t>Expedientes disciplinarios;</w:t>
      </w:r>
    </w:p>
    <w:p w14:paraId="7943413B" w14:textId="77777777" w:rsidR="00D634E9" w:rsidRPr="00BB4DE1" w:rsidRDefault="7D935AEF" w:rsidP="00206661">
      <w:pPr>
        <w:pStyle w:val="ListParagraph"/>
        <w:spacing w:before="0" w:after="0"/>
        <w:rPr>
          <w:sz w:val="20"/>
          <w:szCs w:val="20"/>
          <w:lang w:val="es-US"/>
        </w:rPr>
      </w:pPr>
      <w:r w:rsidRPr="00BB4DE1">
        <w:rPr>
          <w:sz w:val="20"/>
          <w:szCs w:val="20"/>
          <w:lang w:val="es-US"/>
        </w:rPr>
        <w:t>Expedientes de consejería;</w:t>
      </w:r>
    </w:p>
    <w:p w14:paraId="7943413C" w14:textId="77777777" w:rsidR="00D634E9" w:rsidRPr="00BB4DE1" w:rsidRDefault="7D935AEF" w:rsidP="00206661">
      <w:pPr>
        <w:pStyle w:val="ListParagraph"/>
        <w:spacing w:before="0" w:after="0"/>
        <w:rPr>
          <w:sz w:val="20"/>
          <w:szCs w:val="20"/>
          <w:lang w:val="es-US"/>
        </w:rPr>
      </w:pPr>
      <w:r w:rsidRPr="00BB4DE1">
        <w:rPr>
          <w:sz w:val="20"/>
          <w:szCs w:val="20"/>
          <w:lang w:val="es-US"/>
        </w:rPr>
        <w:t>Expedientes psicológicos;</w:t>
      </w:r>
    </w:p>
    <w:p w14:paraId="7943413D" w14:textId="77777777" w:rsidR="00D634E9" w:rsidRPr="00BB4DE1" w:rsidRDefault="7D935AEF" w:rsidP="00206661">
      <w:pPr>
        <w:pStyle w:val="ListParagraph"/>
        <w:spacing w:before="0" w:after="0"/>
        <w:rPr>
          <w:sz w:val="20"/>
          <w:szCs w:val="20"/>
          <w:lang w:val="es-US"/>
        </w:rPr>
      </w:pPr>
      <w:r w:rsidRPr="00BB4DE1">
        <w:rPr>
          <w:sz w:val="20"/>
          <w:szCs w:val="20"/>
          <w:lang w:val="es-US"/>
        </w:rPr>
        <w:t>Solicitudes de admisión;</w:t>
      </w:r>
    </w:p>
    <w:p w14:paraId="7943413E" w14:textId="77777777" w:rsidR="00D634E9" w:rsidRPr="00BB4DE1" w:rsidRDefault="7D935AEF" w:rsidP="00206661">
      <w:pPr>
        <w:pStyle w:val="ListParagraph"/>
        <w:spacing w:before="0" w:after="0"/>
        <w:rPr>
          <w:sz w:val="20"/>
          <w:szCs w:val="20"/>
          <w:lang w:val="es-US"/>
        </w:rPr>
      </w:pPr>
      <w:r w:rsidRPr="00BB4DE1">
        <w:rPr>
          <w:sz w:val="20"/>
          <w:szCs w:val="20"/>
          <w:lang w:val="es-US"/>
        </w:rPr>
        <w:t>Información sobre salud y vacunación;</w:t>
      </w:r>
    </w:p>
    <w:p w14:paraId="7943413F" w14:textId="77777777" w:rsidR="00D634E9" w:rsidRPr="00BB4DE1" w:rsidRDefault="7D935AEF" w:rsidP="00206661">
      <w:pPr>
        <w:pStyle w:val="ListParagraph"/>
        <w:spacing w:before="0" w:after="0"/>
        <w:rPr>
          <w:sz w:val="20"/>
          <w:szCs w:val="20"/>
          <w:lang w:val="es-US"/>
        </w:rPr>
      </w:pPr>
      <w:r w:rsidRPr="00BB4DE1">
        <w:rPr>
          <w:sz w:val="20"/>
          <w:szCs w:val="20"/>
          <w:lang w:val="es-US"/>
        </w:rPr>
        <w:t>Evaluaciones de maestros y de consejeros escolares;</w:t>
      </w:r>
    </w:p>
    <w:p w14:paraId="23431BB6" w14:textId="77777777" w:rsidR="00425635" w:rsidRPr="00BB4DE1" w:rsidRDefault="7D935AEF" w:rsidP="00206661">
      <w:pPr>
        <w:pStyle w:val="ListParagraph"/>
        <w:spacing w:before="0" w:after="0"/>
        <w:rPr>
          <w:sz w:val="20"/>
          <w:szCs w:val="20"/>
          <w:lang w:val="es-US"/>
        </w:rPr>
      </w:pPr>
      <w:r w:rsidRPr="00BB4DE1">
        <w:rPr>
          <w:sz w:val="20"/>
          <w:szCs w:val="20"/>
          <w:lang w:val="es-US"/>
        </w:rPr>
        <w:t>Informes de patrones de comportamiento; y</w:t>
      </w:r>
    </w:p>
    <w:p w14:paraId="79434141" w14:textId="68ACFFC0" w:rsidR="00D634E9" w:rsidRPr="00BB4DE1" w:rsidRDefault="7D935AEF" w:rsidP="005A64DB">
      <w:pPr>
        <w:pStyle w:val="ListParagraph"/>
        <w:rPr>
          <w:sz w:val="20"/>
          <w:szCs w:val="20"/>
          <w:lang w:val="es-US"/>
        </w:rPr>
      </w:pPr>
      <w:r w:rsidRPr="00BB4DE1">
        <w:rPr>
          <w:sz w:val="20"/>
          <w:szCs w:val="20"/>
          <w:lang w:val="es-US"/>
        </w:rPr>
        <w:t>Expedientes relacionados con la asistencia prestada para dificultades de aprendizaje, incluyendo información recopilada sobre cualquier estrategia de intervención utilizada con el niño.</w:t>
      </w:r>
      <w:r w:rsidR="00334A4D" w:rsidRPr="00BB4DE1">
        <w:rPr>
          <w:sz w:val="20"/>
          <w:szCs w:val="20"/>
          <w:lang w:val="es-US"/>
        </w:rPr>
        <w:t xml:space="preserve">  </w:t>
      </w:r>
      <w:r w:rsidR="001325CF" w:rsidRPr="00BB4DE1">
        <w:rPr>
          <w:sz w:val="20"/>
          <w:szCs w:val="20"/>
          <w:lang w:val="es-US"/>
        </w:rPr>
        <w:t xml:space="preserve"> </w:t>
      </w:r>
    </w:p>
    <w:p w14:paraId="46BF7C72" w14:textId="0C8D3303" w:rsidR="00DA4100" w:rsidRPr="00BB4DE1" w:rsidRDefault="7D935AEF" w:rsidP="005A64DB">
      <w:pPr>
        <w:rPr>
          <w:sz w:val="20"/>
          <w:szCs w:val="20"/>
          <w:lang w:val="es-US"/>
        </w:rPr>
      </w:pPr>
      <w:r w:rsidRPr="00BB4DE1">
        <w:rPr>
          <w:sz w:val="20"/>
          <w:szCs w:val="20"/>
          <w:lang w:val="es-US"/>
        </w:rPr>
        <w:t>La sección 26.004(b)(11) del Código de Educación de Texas [TEC §26.004(b)(11)], a la que se hace referencia en la lista anterior con respecto a estrategias de intervención, es aplicable a escuelas autónomas de inscripción abierta.</w:t>
      </w:r>
      <w:r w:rsidR="00F32CEA" w:rsidRPr="00BB4DE1">
        <w:rPr>
          <w:sz w:val="20"/>
          <w:szCs w:val="20"/>
          <w:lang w:val="es-US"/>
        </w:rPr>
        <w:t xml:space="preserve"> </w:t>
      </w:r>
      <w:r w:rsidRPr="00BB4DE1">
        <w:rPr>
          <w:sz w:val="20"/>
          <w:szCs w:val="20"/>
          <w:lang w:val="es-US"/>
        </w:rPr>
        <w:t>Sin embargo, aunque la legislación estatal no especifica en términos concretos que los puntos 1 a 10 sean aplicables a escuelas autónomas de inscripción abierta, dichas escuelas deben recordar respetar todos los derechos de acceso de los padres a expedientes estudiantiles en virtud de la legislación federal.</w:t>
      </w:r>
      <w:r w:rsidR="00793224" w:rsidRPr="00BB4DE1">
        <w:rPr>
          <w:sz w:val="20"/>
          <w:szCs w:val="20"/>
          <w:lang w:val="es-US"/>
        </w:rPr>
        <w:t xml:space="preserve"> </w:t>
      </w:r>
    </w:p>
    <w:p w14:paraId="79434142" w14:textId="77777777" w:rsidR="00D634E9" w:rsidRPr="00BB4DE1" w:rsidRDefault="00D634E9" w:rsidP="005A64DB">
      <w:pPr>
        <w:pStyle w:val="BodyText"/>
        <w:rPr>
          <w:sz w:val="20"/>
          <w:szCs w:val="20"/>
          <w:lang w:val="es-US"/>
        </w:rPr>
      </w:pPr>
    </w:p>
    <w:p w14:paraId="42DCF676" w14:textId="6C6BCDDE" w:rsidR="00CA3004" w:rsidRPr="00BB4DE1" w:rsidRDefault="7D935AEF" w:rsidP="005A64DB">
      <w:pPr>
        <w:pStyle w:val="Heading2"/>
        <w:rPr>
          <w:sz w:val="22"/>
          <w:szCs w:val="22"/>
          <w:lang w:val="es-US"/>
        </w:rPr>
      </w:pPr>
      <w:r w:rsidRPr="00BB4DE1">
        <w:rPr>
          <w:sz w:val="22"/>
          <w:szCs w:val="22"/>
          <w:lang w:val="es-US"/>
        </w:rPr>
        <w:t>¿Qué es una estrategia de intervención, según se utiliza en la lista de la pregunta 1?</w:t>
      </w:r>
      <w:r w:rsidR="00C86798" w:rsidRPr="00BB4DE1">
        <w:rPr>
          <w:sz w:val="22"/>
          <w:szCs w:val="22"/>
          <w:lang w:val="es-US"/>
        </w:rPr>
        <w:t xml:space="preserve"> </w:t>
      </w:r>
    </w:p>
    <w:p w14:paraId="28AC39F6" w14:textId="1913B72C" w:rsidR="00C86798" w:rsidRPr="00BB4DE1" w:rsidRDefault="7D935AEF" w:rsidP="005A64DB">
      <w:pPr>
        <w:rPr>
          <w:sz w:val="20"/>
          <w:szCs w:val="20"/>
          <w:lang w:val="es-US"/>
        </w:rPr>
      </w:pPr>
      <w:r w:rsidRPr="00BB4DE1">
        <w:rPr>
          <w:sz w:val="20"/>
          <w:szCs w:val="20"/>
          <w:lang w:val="es-US"/>
        </w:rPr>
        <w:t>Una estrategia de intervención se define de manera específica para las finalidades de la sección 26.004 del Código de Educación de Texas [TEC §26.004]; significa una estrategia en un sistema de apoyos escalonados (MTSS) que está por encima del nivel de intervención generalmente utilizado en ese sistema con todos los niños.</w:t>
      </w:r>
      <w:r w:rsidR="00C86798" w:rsidRPr="00BB4DE1">
        <w:rPr>
          <w:sz w:val="20"/>
          <w:szCs w:val="20"/>
          <w:lang w:val="es-US"/>
        </w:rPr>
        <w:t xml:space="preserve"> </w:t>
      </w:r>
      <w:r w:rsidRPr="00BB4DE1">
        <w:rPr>
          <w:sz w:val="20"/>
          <w:szCs w:val="20"/>
          <w:lang w:val="es-US"/>
        </w:rPr>
        <w:t>El término incluye la respuesta a la intervención y otras estrategias de intervención temprana.</w:t>
      </w:r>
      <w:r w:rsidR="00C86798" w:rsidRPr="00BB4DE1">
        <w:rPr>
          <w:sz w:val="20"/>
          <w:szCs w:val="20"/>
          <w:lang w:val="es-US"/>
        </w:rPr>
        <w:t xml:space="preserve"> </w:t>
      </w:r>
    </w:p>
    <w:p w14:paraId="27B8523C" w14:textId="2AD33177" w:rsidR="000040B2" w:rsidRPr="00BB4DE1" w:rsidRDefault="7D935AEF" w:rsidP="005A64DB">
      <w:pPr>
        <w:rPr>
          <w:sz w:val="20"/>
          <w:szCs w:val="20"/>
          <w:lang w:val="es-US"/>
        </w:rPr>
      </w:pPr>
      <w:r w:rsidRPr="00BB4DE1">
        <w:rPr>
          <w:sz w:val="20"/>
          <w:szCs w:val="20"/>
          <w:lang w:val="es-US"/>
        </w:rPr>
        <w:t>Entonces, en un MTSS de tres niveles, estas se considerarían intervenciones de nivel 2 o de nivel 3.</w:t>
      </w:r>
      <w:r w:rsidR="000D0314" w:rsidRPr="00BB4DE1">
        <w:rPr>
          <w:sz w:val="20"/>
          <w:szCs w:val="20"/>
          <w:lang w:val="es-US"/>
        </w:rPr>
        <w:t xml:space="preserve"> </w:t>
      </w:r>
      <w:r w:rsidRPr="00BB4DE1">
        <w:rPr>
          <w:sz w:val="20"/>
          <w:szCs w:val="20"/>
          <w:lang w:val="es-US"/>
        </w:rPr>
        <w:t>Las intervenciones de nivel 2 y de nivel 3, dentro de un MTSS, incluyen estrategias tanto académicas como no académicas (por ejemplo, comportamiento, salud mental).</w:t>
      </w:r>
      <w:r w:rsidR="000040B2" w:rsidRPr="00BB4DE1">
        <w:rPr>
          <w:sz w:val="20"/>
          <w:szCs w:val="20"/>
          <w:lang w:val="es-US"/>
        </w:rPr>
        <w:t xml:space="preserve"> </w:t>
      </w:r>
      <w:r w:rsidRPr="00BB4DE1">
        <w:rPr>
          <w:sz w:val="20"/>
          <w:szCs w:val="20"/>
          <w:lang w:val="es-US"/>
        </w:rPr>
        <w:t>Debido a que la legislación se refiere de manera específica a las estrategias de intervención como estrategias por encima del nivel de intervención generalmente utilizado con todos los niños, será importante que un distrito o una escuela autónoma de inscripción abierta opere un MTSS en función de investigaciones y prácticas de base empírica, incluyendo procedimientos por escrito que describan cuándo un estudiante requiere el nivel de intervención que está por encima del que usualmente se usa para todos los niños.</w:t>
      </w:r>
      <w:r w:rsidR="008827BB" w:rsidRPr="00BB4DE1">
        <w:rPr>
          <w:sz w:val="20"/>
          <w:szCs w:val="20"/>
          <w:lang w:val="es-US"/>
        </w:rPr>
        <w:t xml:space="preserve"> </w:t>
      </w:r>
      <w:r w:rsidRPr="00BB4DE1">
        <w:rPr>
          <w:sz w:val="20"/>
          <w:szCs w:val="20"/>
          <w:lang w:val="es-US"/>
        </w:rPr>
        <w:t>Por lo tanto, serán importantes los criterios asociados a la entrada y salida de cada nivel de intervención.</w:t>
      </w:r>
      <w:r w:rsidR="00B17524" w:rsidRPr="00BB4DE1">
        <w:rPr>
          <w:sz w:val="20"/>
          <w:szCs w:val="20"/>
          <w:lang w:val="es-US"/>
        </w:rPr>
        <w:t xml:space="preserve"> </w:t>
      </w:r>
      <w:r w:rsidRPr="00BB4DE1">
        <w:rPr>
          <w:sz w:val="20"/>
          <w:szCs w:val="20"/>
          <w:lang w:val="es-US"/>
        </w:rPr>
        <w:t>Sin embargo, estos criterios no pueden retrasar las remisiones para evaluaciones bajo educación especial cuando el distrito o la escuela sospecha que el niño tiene una discapacidad y necesita educación especial.</w:t>
      </w:r>
      <w:r w:rsidR="00154312" w:rsidRPr="00BB4DE1">
        <w:rPr>
          <w:sz w:val="20"/>
          <w:szCs w:val="20"/>
          <w:lang w:val="es-US"/>
        </w:rPr>
        <w:t xml:space="preserve"> </w:t>
      </w:r>
      <w:r w:rsidR="00AE31F5" w:rsidRPr="00BB4DE1">
        <w:rPr>
          <w:sz w:val="20"/>
          <w:szCs w:val="20"/>
          <w:lang w:val="es-US"/>
        </w:rPr>
        <w:t xml:space="preserve"> </w:t>
      </w:r>
    </w:p>
    <w:p w14:paraId="6E96068C" w14:textId="5BE8FD56" w:rsidR="002E3B76" w:rsidRPr="00BB4DE1" w:rsidRDefault="7D935AEF" w:rsidP="005A64DB">
      <w:pPr>
        <w:pStyle w:val="Heading2"/>
        <w:rPr>
          <w:sz w:val="22"/>
          <w:szCs w:val="22"/>
          <w:lang w:val="es-US"/>
        </w:rPr>
      </w:pPr>
      <w:r w:rsidRPr="00BB4DE1">
        <w:rPr>
          <w:sz w:val="22"/>
          <w:szCs w:val="22"/>
          <w:lang w:val="es-US"/>
        </w:rPr>
        <w:lastRenderedPageBreak/>
        <w:t>Además del derecho de los padres a acceder a información recopilada respecto a cualquier estrategia de intervención utilizada con sus hijos, ¿los distritos y las escuelas autónomas de inscripción abierta deben notificar a los padres sobre estas estrategias de intervención?</w:t>
      </w:r>
      <w:r w:rsidR="0053396A" w:rsidRPr="00BB4DE1">
        <w:rPr>
          <w:sz w:val="22"/>
          <w:szCs w:val="22"/>
          <w:lang w:val="es-US"/>
        </w:rPr>
        <w:t xml:space="preserve"> </w:t>
      </w:r>
    </w:p>
    <w:p w14:paraId="73C7FADA" w14:textId="795063C5" w:rsidR="0053396A" w:rsidRPr="00BB4DE1" w:rsidRDefault="7D935AEF" w:rsidP="005A64DB">
      <w:pPr>
        <w:rPr>
          <w:sz w:val="20"/>
          <w:szCs w:val="20"/>
          <w:lang w:val="es-US"/>
        </w:rPr>
      </w:pPr>
      <w:r w:rsidRPr="00BB4DE1">
        <w:rPr>
          <w:sz w:val="20"/>
          <w:szCs w:val="20"/>
          <w:lang w:val="es-US"/>
        </w:rPr>
        <w:t>Sí.</w:t>
      </w:r>
      <w:r w:rsidR="0053396A" w:rsidRPr="00BB4DE1">
        <w:rPr>
          <w:sz w:val="20"/>
          <w:szCs w:val="20"/>
          <w:lang w:val="es-US"/>
        </w:rPr>
        <w:t xml:space="preserve"> </w:t>
      </w:r>
      <w:r w:rsidRPr="00BB4DE1">
        <w:rPr>
          <w:sz w:val="20"/>
          <w:szCs w:val="20"/>
          <w:lang w:val="es-US"/>
        </w:rPr>
        <w:t>En virtud de la sección 26.0081(d) del Código de Educación de Texas [TEC §26.0081(d)], cada distrito escolar y escuela autónoma de inscripción abierta debe notificar a los padres de cada niño (distinto a un niño que reciba educación especial y servicios relacionados) que reciba asistencia del distrito o de la escuela debido a dificultades de aprendizaje (incluso mediante el uso de estrategias de intervención) que el distrito o la escuela facilita dicha asistencia al niño.</w:t>
      </w:r>
      <w:r w:rsidR="00905D90" w:rsidRPr="00BB4DE1">
        <w:rPr>
          <w:sz w:val="20"/>
          <w:szCs w:val="20"/>
          <w:lang w:val="es-US"/>
        </w:rPr>
        <w:t xml:space="preserve"> </w:t>
      </w:r>
      <w:r w:rsidRPr="00BB4DE1">
        <w:rPr>
          <w:sz w:val="20"/>
          <w:szCs w:val="20"/>
          <w:lang w:val="es-US"/>
        </w:rPr>
        <w:t>Ese aviso debe brindarse cuando el niño comience a recibir la asistencia respecto a ese año escolar; debe estar escrito en inglés o, en la medida de lo posible, en el idioma materno de los padres.</w:t>
      </w:r>
      <w:r w:rsidR="000A1097" w:rsidRPr="00BB4DE1">
        <w:rPr>
          <w:sz w:val="20"/>
          <w:szCs w:val="20"/>
          <w:lang w:val="es-US"/>
        </w:rPr>
        <w:t xml:space="preserve"> </w:t>
      </w:r>
    </w:p>
    <w:p w14:paraId="50B9D337" w14:textId="290C5450" w:rsidR="00486323" w:rsidRPr="00BB4DE1" w:rsidRDefault="7D935AEF" w:rsidP="005A64DB">
      <w:pPr>
        <w:rPr>
          <w:sz w:val="20"/>
          <w:szCs w:val="20"/>
          <w:lang w:val="es-US"/>
        </w:rPr>
      </w:pPr>
      <w:r w:rsidRPr="00BB4DE1">
        <w:rPr>
          <w:sz w:val="20"/>
          <w:szCs w:val="20"/>
          <w:lang w:val="es-US"/>
        </w:rPr>
        <w:t>Además, el aviso debe incluir lo siguiente:</w:t>
      </w:r>
      <w:r w:rsidR="00486323" w:rsidRPr="00BB4DE1">
        <w:rPr>
          <w:sz w:val="20"/>
          <w:szCs w:val="20"/>
          <w:lang w:val="es-US"/>
        </w:rPr>
        <w:t xml:space="preserve"> </w:t>
      </w:r>
    </w:p>
    <w:p w14:paraId="17120EF4" w14:textId="12F15E54" w:rsidR="00486323" w:rsidRPr="00BB4DE1" w:rsidRDefault="7D935AEF" w:rsidP="005A64DB">
      <w:pPr>
        <w:pStyle w:val="ListParagraph"/>
        <w:numPr>
          <w:ilvl w:val="0"/>
          <w:numId w:val="2"/>
        </w:numPr>
        <w:rPr>
          <w:sz w:val="20"/>
          <w:szCs w:val="20"/>
          <w:lang w:val="es-US"/>
        </w:rPr>
      </w:pPr>
      <w:r w:rsidRPr="00BB4DE1">
        <w:rPr>
          <w:sz w:val="20"/>
          <w:szCs w:val="20"/>
          <w:lang w:val="es-US"/>
        </w:rPr>
        <w:t>Una descripción razonable de la asistencia que se puede facilitar al niño, incluyendo las estrategias de intervención que se pueden utilizar;</w:t>
      </w:r>
    </w:p>
    <w:p w14:paraId="0BD07F98" w14:textId="008585BD" w:rsidR="001B4985" w:rsidRPr="00BB4DE1" w:rsidRDefault="7D935AEF" w:rsidP="005A64DB">
      <w:pPr>
        <w:pStyle w:val="ListParagraph"/>
        <w:numPr>
          <w:ilvl w:val="0"/>
          <w:numId w:val="2"/>
        </w:numPr>
        <w:rPr>
          <w:sz w:val="20"/>
          <w:szCs w:val="20"/>
          <w:lang w:val="es-US"/>
        </w:rPr>
      </w:pPr>
      <w:r w:rsidRPr="00BB4DE1">
        <w:rPr>
          <w:sz w:val="20"/>
          <w:szCs w:val="20"/>
          <w:lang w:val="es-US"/>
        </w:rPr>
        <w:t>Información recopilada sobre cualquier intervención en el nivel base de un MTSS que se haya empleado anteriormente con el niño;</w:t>
      </w:r>
    </w:p>
    <w:p w14:paraId="629F7165" w14:textId="6F1A40FF" w:rsidR="006A3B3C" w:rsidRPr="00BB4DE1" w:rsidRDefault="7D935AEF" w:rsidP="005A64DB">
      <w:pPr>
        <w:pStyle w:val="ListParagraph"/>
        <w:numPr>
          <w:ilvl w:val="0"/>
          <w:numId w:val="2"/>
        </w:numPr>
        <w:rPr>
          <w:sz w:val="20"/>
          <w:szCs w:val="20"/>
          <w:lang w:val="es-US"/>
        </w:rPr>
      </w:pPr>
      <w:r w:rsidRPr="00BB4DE1">
        <w:rPr>
          <w:sz w:val="20"/>
          <w:szCs w:val="20"/>
          <w:lang w:val="es-US"/>
        </w:rPr>
        <w:t>Una estimación de la duración de la prestación de la asistencia, incluso mediante el uso de estrategias de intervención;</w:t>
      </w:r>
    </w:p>
    <w:p w14:paraId="22E437E5" w14:textId="492104CE" w:rsidR="005870BB" w:rsidRPr="00BB4DE1" w:rsidRDefault="7D935AEF" w:rsidP="005A64DB">
      <w:pPr>
        <w:pStyle w:val="ListParagraph"/>
        <w:numPr>
          <w:ilvl w:val="0"/>
          <w:numId w:val="2"/>
        </w:numPr>
        <w:rPr>
          <w:sz w:val="20"/>
          <w:szCs w:val="20"/>
          <w:lang w:val="es-US"/>
        </w:rPr>
      </w:pPr>
      <w:r w:rsidRPr="00BB4DE1">
        <w:rPr>
          <w:sz w:val="20"/>
          <w:szCs w:val="20"/>
          <w:lang w:val="es-US"/>
        </w:rPr>
        <w:t>Los plazos estimados en los que se facilitará a los padres un informe sobre el avance del niño con la asistencia, incluyendo las estrategias de intervención utilizadas; y</w:t>
      </w:r>
    </w:p>
    <w:p w14:paraId="2BBA881F" w14:textId="06785303" w:rsidR="005870BB" w:rsidRPr="00BB4DE1" w:rsidRDefault="7D935AEF" w:rsidP="005A64DB">
      <w:pPr>
        <w:pStyle w:val="ListParagraph"/>
        <w:numPr>
          <w:ilvl w:val="0"/>
          <w:numId w:val="2"/>
        </w:numPr>
        <w:rPr>
          <w:sz w:val="20"/>
          <w:szCs w:val="20"/>
          <w:lang w:val="es-US"/>
        </w:rPr>
      </w:pPr>
      <w:r w:rsidRPr="00BB4DE1">
        <w:rPr>
          <w:sz w:val="20"/>
          <w:szCs w:val="20"/>
          <w:lang w:val="es-US"/>
        </w:rPr>
        <w:t>Una copia de la explicación descrita en la pregunta 4, a continuación.</w:t>
      </w:r>
      <w:r w:rsidR="00813674" w:rsidRPr="00BB4DE1">
        <w:rPr>
          <w:sz w:val="20"/>
          <w:szCs w:val="20"/>
          <w:lang w:val="es-US"/>
        </w:rPr>
        <w:t xml:space="preserve"> </w:t>
      </w:r>
    </w:p>
    <w:p w14:paraId="35FFF9A4" w14:textId="22DF04C6" w:rsidR="001B4985" w:rsidRPr="00BB4DE1" w:rsidRDefault="7D935AEF" w:rsidP="005A64DB">
      <w:pPr>
        <w:rPr>
          <w:sz w:val="20"/>
          <w:szCs w:val="20"/>
          <w:lang w:val="es-US"/>
        </w:rPr>
      </w:pPr>
      <w:r w:rsidRPr="00BB4DE1">
        <w:rPr>
          <w:sz w:val="20"/>
          <w:szCs w:val="20"/>
          <w:lang w:val="es-US"/>
        </w:rPr>
        <w:t>Este aviso podría brindarse a un(a) padre (madre) en una reunión referente a la Sección 504, si corresponde.</w:t>
      </w:r>
      <w:r w:rsidR="00FA7B89" w:rsidRPr="00BB4DE1">
        <w:rPr>
          <w:sz w:val="20"/>
          <w:szCs w:val="20"/>
          <w:lang w:val="es-US"/>
        </w:rPr>
        <w:t xml:space="preserve"> </w:t>
      </w:r>
    </w:p>
    <w:p w14:paraId="18ACC34F" w14:textId="77777777" w:rsidR="007820ED" w:rsidRPr="00BB4DE1" w:rsidRDefault="007820ED" w:rsidP="005A64DB">
      <w:pPr>
        <w:rPr>
          <w:sz w:val="20"/>
          <w:szCs w:val="20"/>
          <w:lang w:val="es-US"/>
        </w:rPr>
      </w:pPr>
    </w:p>
    <w:p w14:paraId="79434143" w14:textId="420237BD" w:rsidR="00D634E9" w:rsidRPr="00BB4DE1" w:rsidRDefault="7D935AEF" w:rsidP="005A64DB">
      <w:pPr>
        <w:pStyle w:val="Heading2"/>
        <w:rPr>
          <w:sz w:val="22"/>
          <w:szCs w:val="22"/>
          <w:lang w:val="es-US"/>
        </w:rPr>
      </w:pPr>
      <w:r w:rsidRPr="00BB4DE1">
        <w:rPr>
          <w:sz w:val="22"/>
          <w:szCs w:val="22"/>
          <w:lang w:val="es-US"/>
        </w:rPr>
        <w:t>¿Qué exige la legislación estatal que la Agencia de Educación de Texas (TEA) facilite a los distritos escolares y a las escuelas autónomas de inscripción abierta en relación con los estudiantes que puedan experimentar dificultades de aprendizaje o que puedan necesitar servicios de educación especial?</w:t>
      </w:r>
    </w:p>
    <w:p w14:paraId="79434148" w14:textId="4C3236D0" w:rsidR="00D634E9" w:rsidRPr="00BB4DE1" w:rsidRDefault="7D935AEF" w:rsidP="005A64DB">
      <w:pPr>
        <w:rPr>
          <w:sz w:val="20"/>
          <w:szCs w:val="20"/>
          <w:lang w:val="es-US"/>
        </w:rPr>
      </w:pPr>
      <w:r w:rsidRPr="00BB4DE1">
        <w:rPr>
          <w:sz w:val="20"/>
          <w:szCs w:val="20"/>
          <w:lang w:val="es-US"/>
        </w:rPr>
        <w:t>De conformidad con la sección 26.0081(c) del Código de Educación de Texas [TEC §26.0081(c)], la TEA debe brindar una explicación por escrito a los distritos y a las escuelas autónomas de inscripción abierta sobre las opciones y requisitos para prestar asistencia a los estudiantes que tienen dificultades de aprendizaje o que necesitan o puedan necesitar educación especial.</w:t>
      </w:r>
      <w:r w:rsidR="00520498" w:rsidRPr="00BB4DE1">
        <w:rPr>
          <w:spacing w:val="-2"/>
          <w:sz w:val="20"/>
          <w:szCs w:val="20"/>
          <w:lang w:val="es-US"/>
        </w:rPr>
        <w:t xml:space="preserve"> </w:t>
      </w:r>
      <w:r w:rsidRPr="00BB4DE1">
        <w:rPr>
          <w:sz w:val="20"/>
          <w:szCs w:val="20"/>
          <w:lang w:val="es-US"/>
        </w:rPr>
        <w:t>La explicación debe indicar que un(a) padre (madre) tiene derecho en cualquier momento a solicitar una evaluación de su hijo para recibir servicios de educación especial o bien ayudas, adaptaciones o servicios en virtud de la Sección 504 de la Ley de Rehabilitación de 1973.</w:t>
      </w:r>
      <w:r w:rsidR="00520498" w:rsidRPr="00BB4DE1">
        <w:rPr>
          <w:sz w:val="20"/>
          <w:szCs w:val="20"/>
          <w:lang w:val="es-US"/>
        </w:rPr>
        <w:t xml:space="preserve"> </w:t>
      </w:r>
      <w:r w:rsidRPr="00BB4DE1">
        <w:rPr>
          <w:sz w:val="20"/>
          <w:szCs w:val="20"/>
          <w:lang w:val="es-US"/>
        </w:rPr>
        <w:t>Cada distrito y escuela autónoma de inscripción abierta debe brindar cada año escolar la explicación por escrito a los padres de cada estudiante del distrito, incluyendo la explicación en el manual del estudiante o por otro medio.</w:t>
      </w:r>
      <w:r w:rsidR="00520498" w:rsidRPr="00BB4DE1">
        <w:rPr>
          <w:sz w:val="20"/>
          <w:szCs w:val="20"/>
          <w:lang w:val="es-US"/>
        </w:rPr>
        <w:t xml:space="preserve"> </w:t>
      </w:r>
      <w:r w:rsidRPr="00BB4DE1">
        <w:rPr>
          <w:sz w:val="20"/>
          <w:szCs w:val="20"/>
          <w:lang w:val="es-US"/>
        </w:rPr>
        <w:t xml:space="preserve">La “Declaración del manual del estudiante” está publicada en el </w:t>
      </w:r>
      <w:hyperlink r:id="rId7">
        <w:r w:rsidRPr="00BB4DE1">
          <w:rPr>
            <w:sz w:val="20"/>
            <w:szCs w:val="20"/>
            <w:u w:val="single"/>
            <w:lang w:val="es-US"/>
          </w:rPr>
          <w:t>sitio w</w:t>
        </w:r>
        <w:r w:rsidRPr="00BB4DE1">
          <w:rPr>
            <w:sz w:val="20"/>
            <w:szCs w:val="20"/>
            <w:u w:val="single"/>
            <w:lang w:val="es-US"/>
          </w:rPr>
          <w:t>e</w:t>
        </w:r>
        <w:r w:rsidRPr="00BB4DE1">
          <w:rPr>
            <w:sz w:val="20"/>
            <w:szCs w:val="20"/>
            <w:u w:val="single"/>
            <w:lang w:val="es-US"/>
          </w:rPr>
          <w:t>b de la TEA</w:t>
        </w:r>
      </w:hyperlink>
      <w:r w:rsidRPr="00BB4DE1">
        <w:rPr>
          <w:sz w:val="20"/>
          <w:szCs w:val="20"/>
          <w:lang w:val="es-US"/>
        </w:rPr>
        <w:t xml:space="preserve"> y está disponible en formatos HTML o Word y en inglés o español.</w:t>
      </w:r>
      <w:hyperlink r:id="rId8"/>
      <w:r w:rsidR="38C03227" w:rsidRPr="00BB4DE1">
        <w:rPr>
          <w:sz w:val="20"/>
          <w:szCs w:val="20"/>
          <w:lang w:val="es-US"/>
        </w:rPr>
        <w:t xml:space="preserve"> </w:t>
      </w:r>
    </w:p>
    <w:p w14:paraId="79434151" w14:textId="77777777" w:rsidR="00D634E9" w:rsidRPr="00BB4DE1" w:rsidRDefault="00D634E9" w:rsidP="005A64DB">
      <w:pPr>
        <w:pStyle w:val="BodyText"/>
        <w:rPr>
          <w:sz w:val="20"/>
          <w:szCs w:val="20"/>
          <w:lang w:val="es-US"/>
        </w:rPr>
      </w:pPr>
    </w:p>
    <w:p w14:paraId="760C4082" w14:textId="77777777" w:rsidR="00D52BFB" w:rsidRPr="00BB4DE1" w:rsidRDefault="7D935AEF" w:rsidP="005A64DB">
      <w:pPr>
        <w:pStyle w:val="Heading2"/>
        <w:rPr>
          <w:sz w:val="22"/>
          <w:szCs w:val="22"/>
          <w:lang w:val="es-US"/>
        </w:rPr>
      </w:pPr>
      <w:r w:rsidRPr="00BB4DE1">
        <w:rPr>
          <w:sz w:val="22"/>
          <w:szCs w:val="22"/>
          <w:lang w:val="es-US"/>
        </w:rPr>
        <w:t>¿La TEA tiene una notificación de muestra que un distrito o una escuela autónoma de inscripción abierta pueda usar para brindar el aviso descrito en la pregunta 3?</w:t>
      </w:r>
      <w:r w:rsidR="004815ED" w:rsidRPr="00BB4DE1">
        <w:rPr>
          <w:sz w:val="22"/>
          <w:szCs w:val="22"/>
          <w:lang w:val="es-US"/>
        </w:rPr>
        <w:t xml:space="preserve"> </w:t>
      </w:r>
    </w:p>
    <w:p w14:paraId="7A5CDBC3" w14:textId="5897B37C" w:rsidR="00D71FE6" w:rsidRPr="00BB4DE1" w:rsidRDefault="7D935AEF" w:rsidP="005A64DB">
      <w:pPr>
        <w:rPr>
          <w:b/>
          <w:bCs/>
          <w:sz w:val="20"/>
          <w:szCs w:val="20"/>
          <w:lang w:val="es-US"/>
        </w:rPr>
      </w:pPr>
      <w:r w:rsidRPr="00BB4DE1">
        <w:rPr>
          <w:color w:val="231F20"/>
          <w:spacing w:val="-4"/>
          <w:sz w:val="20"/>
          <w:szCs w:val="20"/>
          <w:lang w:val="es-US"/>
        </w:rPr>
        <w:t>Sí.</w:t>
      </w:r>
      <w:r w:rsidR="00D71FE6" w:rsidRPr="00BB4DE1">
        <w:rPr>
          <w:sz w:val="20"/>
          <w:szCs w:val="20"/>
          <w:lang w:val="es-US"/>
        </w:rPr>
        <w:t xml:space="preserve"> </w:t>
      </w:r>
      <w:r w:rsidRPr="00BB4DE1">
        <w:rPr>
          <w:sz w:val="20"/>
          <w:szCs w:val="20"/>
          <w:lang w:val="es-US"/>
        </w:rPr>
        <w:t>La TEA tiene una plantilla que los distritos y las escuelas autónomas de inscripción abierta pueden usar y que cumple con los requisitos estatutarios.</w:t>
      </w:r>
      <w:r w:rsidR="00D71FE6" w:rsidRPr="00BB4DE1">
        <w:rPr>
          <w:sz w:val="20"/>
          <w:szCs w:val="20"/>
          <w:lang w:val="es-US"/>
        </w:rPr>
        <w:t xml:space="preserve"> </w:t>
      </w:r>
      <w:r w:rsidRPr="00BB4DE1">
        <w:rPr>
          <w:sz w:val="20"/>
          <w:szCs w:val="20"/>
          <w:lang w:val="es-US"/>
        </w:rPr>
        <w:t xml:space="preserve">La plantilla de notificación está disponible en </w:t>
      </w:r>
      <w:hyperlink r:id="rId9" w:history="1">
        <w:r w:rsidRPr="00BE5433">
          <w:rPr>
            <w:rStyle w:val="Hyperlink"/>
            <w:i/>
            <w:color w:val="09508A" w:themeColor="accent1" w:themeShade="BF"/>
            <w:sz w:val="20"/>
            <w:szCs w:val="20"/>
            <w:lang w:val="es-US"/>
          </w:rPr>
          <w:t>inglés</w:t>
        </w:r>
      </w:hyperlink>
      <w:r w:rsidRPr="00BB4DE1">
        <w:rPr>
          <w:sz w:val="20"/>
          <w:szCs w:val="20"/>
          <w:lang w:val="es-US"/>
        </w:rPr>
        <w:t xml:space="preserve"> y en </w:t>
      </w:r>
      <w:hyperlink r:id="rId10" w:history="1">
        <w:r w:rsidRPr="00BE5433">
          <w:rPr>
            <w:rStyle w:val="Hyperlink"/>
            <w:i/>
            <w:color w:val="09508A" w:themeColor="accent1" w:themeShade="BF"/>
            <w:sz w:val="20"/>
            <w:szCs w:val="20"/>
            <w:lang w:val="es-US"/>
          </w:rPr>
          <w:t>español</w:t>
        </w:r>
      </w:hyperlink>
      <w:r w:rsidRPr="00BB4DE1">
        <w:rPr>
          <w:sz w:val="20"/>
          <w:szCs w:val="20"/>
          <w:lang w:val="es-US"/>
        </w:rPr>
        <w:t>.</w:t>
      </w:r>
    </w:p>
    <w:p w14:paraId="79434159" w14:textId="77777777" w:rsidR="00D634E9" w:rsidRPr="00BB4DE1" w:rsidRDefault="00D634E9" w:rsidP="005A64DB">
      <w:pPr>
        <w:rPr>
          <w:sz w:val="20"/>
          <w:szCs w:val="20"/>
          <w:lang w:val="es-US"/>
        </w:rPr>
      </w:pPr>
    </w:p>
    <w:p w14:paraId="7943415A" w14:textId="5B794389" w:rsidR="00D634E9" w:rsidRPr="00BB4DE1" w:rsidRDefault="7D935AEF" w:rsidP="005A64DB">
      <w:pPr>
        <w:pStyle w:val="Heading2"/>
        <w:rPr>
          <w:sz w:val="22"/>
          <w:szCs w:val="22"/>
          <w:lang w:val="es-US"/>
        </w:rPr>
      </w:pPr>
      <w:r w:rsidRPr="00BB4DE1">
        <w:rPr>
          <w:sz w:val="22"/>
          <w:szCs w:val="22"/>
          <w:lang w:val="es-US"/>
        </w:rPr>
        <w:t>¿Un distrito o una escuela autónoma de inscripción abierta tiene que informar a la TEA sobre los estudiantes que recibieron estrategias de intervención?</w:t>
      </w:r>
    </w:p>
    <w:p w14:paraId="79434167" w14:textId="7E444041" w:rsidR="00D634E9" w:rsidRPr="00BB4DE1" w:rsidRDefault="7D935AEF" w:rsidP="005A64DB">
      <w:pPr>
        <w:rPr>
          <w:sz w:val="20"/>
          <w:szCs w:val="20"/>
          <w:lang w:val="es-US"/>
        </w:rPr>
      </w:pPr>
      <w:r w:rsidRPr="00BB4DE1">
        <w:rPr>
          <w:sz w:val="20"/>
          <w:szCs w:val="20"/>
          <w:lang w:val="es-US"/>
        </w:rPr>
        <w:t>Sí.</w:t>
      </w:r>
      <w:r w:rsidR="00A32BD7" w:rsidRPr="00BB4DE1">
        <w:rPr>
          <w:sz w:val="20"/>
          <w:szCs w:val="20"/>
          <w:lang w:val="es-US"/>
        </w:rPr>
        <w:t xml:space="preserve"> </w:t>
      </w:r>
      <w:r w:rsidRPr="00BB4DE1">
        <w:rPr>
          <w:sz w:val="20"/>
          <w:szCs w:val="20"/>
          <w:lang w:val="es-US"/>
        </w:rPr>
        <w:t>Cada distrito escolar y escuela autónoma de inscripción abierta debe informar cada año a través del sistema de gestión de información de educación pública (PEIMS) la cantidad total de estudiantes inscritos en el distrito o escuela con quienes el distrito o la escuela, según corresponda, utilizó estrategias de intervención (según se definió con anterioridad) en cualquier momento durante el año en el que se elaboró el informe.</w:t>
      </w:r>
      <w:r w:rsidR="009569BD" w:rsidRPr="00BB4DE1">
        <w:rPr>
          <w:sz w:val="20"/>
          <w:szCs w:val="20"/>
          <w:lang w:val="es-US"/>
        </w:rPr>
        <w:t xml:space="preserve"> </w:t>
      </w:r>
      <w:r w:rsidRPr="00BB4DE1">
        <w:rPr>
          <w:sz w:val="20"/>
          <w:szCs w:val="20"/>
          <w:lang w:val="es-US"/>
        </w:rPr>
        <w:t>Este requisito, descrito en la sección 48.009(b)(4) del Código de Educación de Texas [TEC §48.009(b)(4)], permite la exclusión de esta notificación si el estudiante está recibiendo ayudas, adaptaciones y servicios en virtud de la Sección 504 de la Ley de Rehabilitación de 1973.</w:t>
      </w:r>
    </w:p>
    <w:sectPr w:rsidR="00D634E9" w:rsidRPr="00BB4DE1" w:rsidSect="005A64DB">
      <w:headerReference w:type="default" r:id="rId11"/>
      <w:footerReference w:type="even" r:id="rId12"/>
      <w:footerReference w:type="default" r:id="rId13"/>
      <w:pgSz w:w="12240" w:h="15840"/>
      <w:pgMar w:top="993" w:right="730" w:bottom="717" w:left="890" w:header="432" w:footer="4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014A" w14:textId="77777777" w:rsidR="00240D22" w:rsidRDefault="00240D22" w:rsidP="005A64DB">
      <w:r>
        <w:separator/>
      </w:r>
    </w:p>
  </w:endnote>
  <w:endnote w:type="continuationSeparator" w:id="0">
    <w:p w14:paraId="50225E85" w14:textId="77777777" w:rsidR="00240D22" w:rsidRDefault="00240D22" w:rsidP="005A64DB">
      <w:r>
        <w:continuationSeparator/>
      </w:r>
    </w:p>
  </w:endnote>
  <w:endnote w:type="continuationNotice" w:id="1">
    <w:p w14:paraId="40B9BE72" w14:textId="77777777" w:rsidR="00240D22" w:rsidRDefault="00240D22" w:rsidP="005A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7632919"/>
      <w:docPartObj>
        <w:docPartGallery w:val="Page Numbers (Bottom of Page)"/>
        <w:docPartUnique/>
      </w:docPartObj>
    </w:sdtPr>
    <w:sdtContent>
      <w:p w14:paraId="65E1B92F" w14:textId="103C15BE" w:rsidR="005A64DB" w:rsidRDefault="005A64DB">
        <w:pPr>
          <w:pStyle w:val="Footer"/>
          <w:framePr w:wrap="none" w:vAnchor="text" w:hAnchor="margin" w:xAlign="right" w:y="1"/>
          <w:rPr>
            <w:rStyle w:val="PageNumber"/>
          </w:rPr>
        </w:pPr>
        <w:r>
          <w:rPr>
            <w:rStyle w:val="PageNumber"/>
          </w:rPr>
          <w:t xml:space="preserve"> PAGE </w:t>
        </w:r>
      </w:p>
    </w:sdtContent>
  </w:sdt>
  <w:sdt>
    <w:sdtPr>
      <w:rPr>
        <w:rStyle w:val="PageNumber"/>
      </w:rPr>
      <w:id w:val="-529417360"/>
      <w:docPartObj>
        <w:docPartGallery w:val="Page Numbers (Bottom of Page)"/>
        <w:docPartUnique/>
      </w:docPartObj>
    </w:sdtPr>
    <w:sdtContent>
      <w:p w14:paraId="41070C95" w14:textId="63EF5914" w:rsidR="00C33482" w:rsidRDefault="00C33482" w:rsidP="005A64DB">
        <w:pPr>
          <w:pStyle w:val="Footer"/>
          <w:ind w:right="360"/>
          <w:rPr>
            <w:rStyle w:val="PageNumber"/>
          </w:rPr>
        </w:pPr>
        <w:r>
          <w:rPr>
            <w:rStyle w:val="PageNumber"/>
          </w:rPr>
          <w:t xml:space="preserve"> PAGE </w:t>
        </w:r>
      </w:p>
    </w:sdtContent>
  </w:sdt>
  <w:p w14:paraId="1C4CE85D" w14:textId="77777777" w:rsidR="00C33482" w:rsidRDefault="00C33482" w:rsidP="005A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90CC" w14:textId="61A046CF" w:rsidR="00C33482" w:rsidRPr="00C33482" w:rsidRDefault="00C33482" w:rsidP="005A64DB">
    <w:pPr>
      <w:pStyle w:val="Footer"/>
      <w:ind w:right="360"/>
      <w:rPr>
        <w:rStyle w:val="PageNumber"/>
        <w:rFonts w:ascii="Calibri Light" w:hAnsi="Calibri Light" w:cs="Calibri Light"/>
        <w:color w:val="262626" w:themeColor="text1" w:themeTint="D9"/>
      </w:rPr>
    </w:pPr>
  </w:p>
  <w:sdt>
    <w:sdtPr>
      <w:rPr>
        <w:rStyle w:val="PageNumber"/>
        <w:rFonts w:ascii="Calibri Light" w:hAnsi="Calibri Light" w:cs="Calibri Light"/>
        <w:color w:val="262626" w:themeColor="text1" w:themeTint="D9"/>
      </w:rPr>
      <w:id w:val="965387727"/>
      <w:docPartObj>
        <w:docPartGallery w:val="Page Numbers (Bottom of Page)"/>
        <w:docPartUnique/>
      </w:docPartObj>
    </w:sdtPr>
    <w:sdtContent>
      <w:p w14:paraId="7A028943" w14:textId="0E31E848" w:rsidR="005A64DB" w:rsidRPr="005A64DB" w:rsidRDefault="7D935AEF" w:rsidP="005A64DB">
        <w:pPr>
          <w:pStyle w:val="Footer"/>
          <w:framePr w:wrap="none" w:vAnchor="text" w:hAnchor="margin" w:xAlign="right" w:y="258"/>
          <w:rPr>
            <w:rStyle w:val="PageNumber"/>
            <w:rFonts w:ascii="Calibri Light" w:hAnsi="Calibri Light" w:cs="Calibri Light"/>
            <w:color w:val="262626" w:themeColor="text1" w:themeTint="D9"/>
          </w:rPr>
        </w:pPr>
        <w:r w:rsidRPr="7D935AEF">
          <w:rPr>
            <w:rStyle w:val="PageNumber"/>
            <w:rFonts w:ascii="Calibri Light" w:hAnsi="Calibri Light" w:cs="Calibri Light"/>
            <w:color w:val="262626"/>
            <w:lang w:val="es-ES_tradnl"/>
          </w:rPr>
          <w:t xml:space="preserve">PÁGINA | </w:t>
        </w:r>
        <w:r w:rsidR="00206661" w:rsidRPr="00206661">
          <w:rPr>
            <w:rStyle w:val="PageNumber"/>
            <w:rFonts w:ascii="Calibri Light" w:hAnsi="Calibri Light" w:cs="Calibri Light"/>
            <w:color w:val="262626"/>
            <w:lang w:val="es-ES_tradnl"/>
          </w:rPr>
          <w:fldChar w:fldCharType="begin"/>
        </w:r>
        <w:r w:rsidR="00206661" w:rsidRPr="00206661">
          <w:rPr>
            <w:rStyle w:val="PageNumber"/>
            <w:rFonts w:ascii="Calibri Light" w:hAnsi="Calibri Light" w:cs="Calibri Light"/>
            <w:color w:val="262626"/>
            <w:lang w:val="es-ES_tradnl"/>
          </w:rPr>
          <w:instrText xml:space="preserve"> PAGE   \* MERGEFORMAT </w:instrText>
        </w:r>
        <w:r w:rsidR="00206661" w:rsidRPr="00206661">
          <w:rPr>
            <w:rStyle w:val="PageNumber"/>
            <w:rFonts w:ascii="Calibri Light" w:hAnsi="Calibri Light" w:cs="Calibri Light"/>
            <w:color w:val="262626"/>
            <w:lang w:val="es-ES_tradnl"/>
          </w:rPr>
          <w:fldChar w:fldCharType="separate"/>
        </w:r>
        <w:r w:rsidR="00206661" w:rsidRPr="00206661">
          <w:rPr>
            <w:rStyle w:val="PageNumber"/>
            <w:rFonts w:ascii="Calibri Light" w:hAnsi="Calibri Light" w:cs="Calibri Light"/>
            <w:noProof/>
            <w:color w:val="262626"/>
            <w:lang w:val="es-ES_tradnl"/>
          </w:rPr>
          <w:t>1</w:t>
        </w:r>
        <w:r w:rsidR="00206661" w:rsidRPr="00206661">
          <w:rPr>
            <w:rStyle w:val="PageNumber"/>
            <w:rFonts w:ascii="Calibri Light" w:hAnsi="Calibri Light" w:cs="Calibri Light"/>
            <w:noProof/>
            <w:color w:val="262626"/>
            <w:lang w:val="es-ES_tradnl"/>
          </w:rPr>
          <w:fldChar w:fldCharType="end"/>
        </w:r>
      </w:p>
    </w:sdtContent>
  </w:sdt>
  <w:p w14:paraId="7F699D77" w14:textId="29FD04AB" w:rsidR="00C33482" w:rsidRDefault="002C7733" w:rsidP="005A64DB">
    <w:pPr>
      <w:pStyle w:val="Footer"/>
    </w:pPr>
    <w:r>
      <w:rPr>
        <w:noProof/>
      </w:rPr>
      <mc:AlternateContent>
        <mc:Choice Requires="wps">
          <w:drawing>
            <wp:anchor distT="0" distB="0" distL="114300" distR="114300" simplePos="0" relativeHeight="251658244" behindDoc="0" locked="0" layoutInCell="1" allowOverlap="1" wp14:anchorId="6AA8ED35" wp14:editId="70CCD9CD">
              <wp:simplePos x="0" y="0"/>
              <wp:positionH relativeFrom="column">
                <wp:posOffset>-58156</wp:posOffset>
              </wp:positionH>
              <wp:positionV relativeFrom="paragraph">
                <wp:posOffset>95822</wp:posOffset>
              </wp:positionV>
              <wp:extent cx="3458424" cy="388802"/>
              <wp:effectExtent l="0" t="0" r="0" b="0"/>
              <wp:wrapNone/>
              <wp:docPr id="895059069" name="Text Box 8"/>
              <wp:cNvGraphicFramePr/>
              <a:graphic xmlns:a="http://schemas.openxmlformats.org/drawingml/2006/main">
                <a:graphicData uri="http://schemas.microsoft.com/office/word/2010/wordprocessingShape">
                  <wps:wsp>
                    <wps:cNvSpPr txBox="1"/>
                    <wps:spPr>
                      <a:xfrm>
                        <a:off x="0" y="0"/>
                        <a:ext cx="3458424" cy="388802"/>
                      </a:xfrm>
                      <a:prstGeom prst="rect">
                        <a:avLst/>
                      </a:prstGeom>
                      <a:noFill/>
                      <a:ln w="6350">
                        <a:noFill/>
                      </a:ln>
                    </wps:spPr>
                    <wps:txbx>
                      <w:txbxContent>
                        <w:p w14:paraId="337704B7" w14:textId="5A7A8994" w:rsidR="002C7733" w:rsidRPr="005A64DB" w:rsidRDefault="7D935AEF" w:rsidP="005A64DB">
                          <w:pPr>
                            <w:rPr>
                              <w:rFonts w:ascii="Calibri Light" w:hAnsi="Calibri Light" w:cs="Calibri Light"/>
                            </w:rPr>
                          </w:pPr>
                          <w:r w:rsidRPr="7D935AEF">
                            <w:rPr>
                              <w:rFonts w:ascii="Calibri Light" w:hAnsi="Calibri Light" w:cs="Calibri Light"/>
                              <w:lang w:val="es-ES_tradnl"/>
                            </w:rPr>
                            <w:t>Actualizado:</w:t>
                          </w:r>
                          <w:r w:rsidR="002C7733" w:rsidRPr="005A64DB">
                            <w:rPr>
                              <w:rFonts w:ascii="Calibri Light" w:hAnsi="Calibri Light" w:cs="Calibri Light"/>
                            </w:rPr>
                            <w:t xml:space="preserve"> </w:t>
                          </w:r>
                          <w:r w:rsidRPr="7D935AEF">
                            <w:rPr>
                              <w:rFonts w:ascii="Calibri Light" w:hAnsi="Calibri Light" w:cs="Calibri Light"/>
                              <w:lang w:val="es-ES_tradnl"/>
                            </w:rPr>
                            <w:t>noviembre 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shapetype w14:anchorId="6AA8ED35" id="_x0000_t202" coordsize="21600,21600" o:spt="202" path="m,l,21600r21600,l21600,xe">
              <v:stroke joinstyle="miter"/>
              <v:path gradientshapeok="t" o:connecttype="rect"/>
            </v:shapetype>
            <v:shape id="Text Box 8" o:spid="_x0000_s1027" type="#_x0000_t202" style="position:absolute;margin-left:-4.6pt;margin-top:7.55pt;width:272.3pt;height:30.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" filled="f" stroked="f" strokeweight=".5pt">
              <v:textbox>
                <w:txbxContent>
                  <w:p w14:paraId="337704B7" w14:textId="5A7A8994" w:rsidR="002C7733" w:rsidRPr="005A64DB" w:rsidRDefault="7D935AEF" w:rsidP="005A64DB">
                    <w:pPr>
                      <w:rPr>
                        <w:rFonts w:ascii="Calibri Light" w:hAnsi="Calibri Light" w:cs="Calibri Light"/>
                      </w:rPr>
                    </w:pPr>
                    <w:r w:rsidRPr="7D935AEF">
                      <w:rPr>
                        <w:rFonts w:ascii="Calibri Light" w:hAnsi="Calibri Light" w:cs="Calibri Light"/>
                        <w:lang w:val="es-ES_tradnl"/>
                      </w:rPr>
                      <w:t>Actualizado:</w:t>
                    </w:r>
                    <w:r w:rsidR="002C7733" w:rsidRPr="005A64DB">
                      <w:rPr>
                        <w:rFonts w:ascii="Calibri Light" w:hAnsi="Calibri Light" w:cs="Calibri Light"/>
                      </w:rPr>
                      <w:t xml:space="preserve"> </w:t>
                    </w:r>
                    <w:r w:rsidRPr="7D935AEF">
                      <w:rPr>
                        <w:rFonts w:ascii="Calibri Light" w:hAnsi="Calibri Light" w:cs="Calibri Light"/>
                        <w:lang w:val="es-ES_tradnl"/>
                      </w:rPr>
                      <w:t>noviembre de 2024</w:t>
                    </w:r>
                  </w:p>
                </w:txbxContent>
              </v:textbox>
            </v:shape>
          </w:pict>
        </mc:Fallback>
      </mc:AlternateContent>
    </w:r>
    <w:r w:rsidR="00C33482">
      <w:rPr>
        <w:noProof/>
      </w:rPr>
      <mc:AlternateContent>
        <mc:Choice Requires="wps">
          <w:drawing>
            <wp:anchor distT="0" distB="0" distL="114300" distR="114300" simplePos="0" relativeHeight="251658243" behindDoc="0" locked="0" layoutInCell="1" allowOverlap="1" wp14:anchorId="1A596799" wp14:editId="5CAC9803">
              <wp:simplePos x="0" y="0"/>
              <wp:positionH relativeFrom="column">
                <wp:posOffset>-565150</wp:posOffset>
              </wp:positionH>
              <wp:positionV relativeFrom="paragraph">
                <wp:posOffset>112867</wp:posOffset>
              </wp:positionV>
              <wp:extent cx="7776480" cy="0"/>
              <wp:effectExtent l="0" t="0" r="8890" b="12700"/>
              <wp:wrapNone/>
              <wp:docPr id="145080517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64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9C41C" id="Straight Connector 7"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44.5pt,8.9pt" to="56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" strokecolor="gray [1629]"/>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3E07E" w14:textId="77777777" w:rsidR="00240D22" w:rsidRDefault="00240D22" w:rsidP="005A64DB">
      <w:r>
        <w:separator/>
      </w:r>
    </w:p>
  </w:footnote>
  <w:footnote w:type="continuationSeparator" w:id="0">
    <w:p w14:paraId="5E1C3825" w14:textId="77777777" w:rsidR="00240D22" w:rsidRDefault="00240D22" w:rsidP="005A64DB">
      <w:r>
        <w:continuationSeparator/>
      </w:r>
    </w:p>
  </w:footnote>
  <w:footnote w:type="continuationNotice" w:id="1">
    <w:p w14:paraId="31E48F8C" w14:textId="77777777" w:rsidR="00240D22" w:rsidRDefault="00240D22" w:rsidP="005A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EA96" w14:textId="2744BA9C" w:rsidR="006B49B1" w:rsidRDefault="004D7ED6" w:rsidP="005A64DB">
    <w:pPr>
      <w:pStyle w:val="BodyText"/>
    </w:pPr>
    <w:r>
      <w:rPr>
        <w:noProof/>
      </w:rPr>
      <mc:AlternateContent>
        <mc:Choice Requires="wps">
          <w:drawing>
            <wp:anchor distT="0" distB="0" distL="114300" distR="114300" simplePos="0" relativeHeight="251658242" behindDoc="0" locked="0" layoutInCell="1" allowOverlap="1" wp14:anchorId="227679ED" wp14:editId="16195BF8">
              <wp:simplePos x="0" y="0"/>
              <wp:positionH relativeFrom="column">
                <wp:posOffset>-169365</wp:posOffset>
              </wp:positionH>
              <wp:positionV relativeFrom="paragraph">
                <wp:posOffset>-178786</wp:posOffset>
              </wp:positionV>
              <wp:extent cx="5923128" cy="471082"/>
              <wp:effectExtent l="0" t="0" r="0" b="5715"/>
              <wp:wrapNone/>
              <wp:docPr id="26427318" name="Text Box 5"/>
              <wp:cNvGraphicFramePr/>
              <a:graphic xmlns:a="http://schemas.openxmlformats.org/drawingml/2006/main">
                <a:graphicData uri="http://schemas.microsoft.com/office/word/2010/wordprocessingShape">
                  <wps:wsp>
                    <wps:cNvSpPr txBox="1"/>
                    <wps:spPr>
                      <a:xfrm>
                        <a:off x="0" y="0"/>
                        <a:ext cx="5923128" cy="471082"/>
                      </a:xfrm>
                      <a:prstGeom prst="rect">
                        <a:avLst/>
                      </a:prstGeom>
                      <a:noFill/>
                      <a:ln w="6350">
                        <a:noFill/>
                      </a:ln>
                    </wps:spPr>
                    <wps:txbx>
                      <w:txbxContent>
                        <w:p w14:paraId="29B033FF" w14:textId="77777777" w:rsidR="006B49B1" w:rsidRPr="00206661" w:rsidRDefault="7D935AEF" w:rsidP="005A64DB">
                          <w:pPr>
                            <w:rPr>
                              <w:b/>
                              <w:bCs/>
                              <w:color w:val="FFFFFF" w:themeColor="background1"/>
                              <w:sz w:val="27"/>
                              <w:szCs w:val="27"/>
                              <w:lang w:val="es-MX"/>
                            </w:rPr>
                          </w:pPr>
                          <w:r w:rsidRPr="00206661">
                            <w:rPr>
                              <w:b/>
                              <w:bCs/>
                              <w:color w:val="FFFFFF"/>
                              <w:sz w:val="27"/>
                              <w:szCs w:val="27"/>
                              <w:lang w:val="es-ES_tradnl"/>
                            </w:rPr>
                            <w:t>Preguntas y respuestas:</w:t>
                          </w:r>
                          <w:r w:rsidR="006B49B1" w:rsidRPr="00206661">
                            <w:rPr>
                              <w:b/>
                              <w:bCs/>
                              <w:color w:val="FFFFFF"/>
                              <w:sz w:val="27"/>
                              <w:szCs w:val="27"/>
                              <w:lang w:val="es-MX"/>
                            </w:rPr>
                            <w:t xml:space="preserve"> </w:t>
                          </w:r>
                          <w:r w:rsidRPr="00206661">
                            <w:rPr>
                              <w:b/>
                              <w:bCs/>
                              <w:color w:val="FFFFFF"/>
                              <w:sz w:val="27"/>
                              <w:szCs w:val="27"/>
                              <w:lang w:val="es-ES_tradnl"/>
                            </w:rPr>
                            <w:t>estrategias de intervención y expedientes estudiantiles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27679ED" id="_x0000_t202" coordsize="21600,21600" o:spt="202" path="m,l,21600r21600,l21600,xe">
              <v:stroke joinstyle="miter"/>
              <v:path gradientshapeok="t" o:connecttype="rect"/>
            </v:shapetype>
            <v:shape id="Text Box 5" o:spid="_x0000_s1026" type="#_x0000_t202" style="position:absolute;margin-left:-13.35pt;margin-top:-14.1pt;width:466.4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" filled="f" stroked="f" strokeweight=".5pt">
              <v:textbox>
                <w:txbxContent>
                  <w:p w14:paraId="29B033FF" w14:textId="77777777" w:rsidR="006B49B1" w:rsidRPr="00206661" w:rsidRDefault="7D935AEF" w:rsidP="005A64DB">
                    <w:pPr>
                      <w:rPr>
                        <w:b/>
                        <w:bCs/>
                        <w:color w:val="FFFFFF" w:themeColor="background1"/>
                        <w:sz w:val="27"/>
                        <w:szCs w:val="27"/>
                        <w:lang w:val="es-MX"/>
                      </w:rPr>
                    </w:pPr>
                    <w:r w:rsidRPr="00206661">
                      <w:rPr>
                        <w:b/>
                        <w:bCs/>
                        <w:color w:val="FFFFFF"/>
                        <w:sz w:val="27"/>
                        <w:szCs w:val="27"/>
                        <w:lang w:val="es-ES_tradnl"/>
                      </w:rPr>
                      <w:t>Preguntas y respuestas:</w:t>
                    </w:r>
                    <w:r w:rsidR="006B49B1" w:rsidRPr="00206661">
                      <w:rPr>
                        <w:b/>
                        <w:bCs/>
                        <w:color w:val="FFFFFF"/>
                        <w:sz w:val="27"/>
                        <w:szCs w:val="27"/>
                        <w:lang w:val="es-MX"/>
                      </w:rPr>
                      <w:t xml:space="preserve"> </w:t>
                    </w:r>
                    <w:r w:rsidRPr="00206661">
                      <w:rPr>
                        <w:b/>
                        <w:bCs/>
                        <w:color w:val="FFFFFF"/>
                        <w:sz w:val="27"/>
                        <w:szCs w:val="27"/>
                        <w:lang w:val="es-ES_tradnl"/>
                      </w:rPr>
                      <w:t>estrategias de intervención y expedientes estudiantiles</w:t>
                    </w:r>
                  </w:p>
                </w:txbxContent>
              </v:textbox>
            </v:shape>
          </w:pict>
        </mc:Fallback>
      </mc:AlternateContent>
    </w:r>
    <w:r w:rsidR="00EA73CD">
      <w:rPr>
        <w:noProof/>
      </w:rPr>
      <mc:AlternateContent>
        <mc:Choice Requires="wps">
          <w:drawing>
            <wp:anchor distT="0" distB="0" distL="114300" distR="114300" simplePos="0" relativeHeight="251658240" behindDoc="0" locked="0" layoutInCell="1" allowOverlap="1" wp14:anchorId="193C9971" wp14:editId="6C220995">
              <wp:simplePos x="0" y="0"/>
              <wp:positionH relativeFrom="column">
                <wp:posOffset>-655955</wp:posOffset>
              </wp:positionH>
              <wp:positionV relativeFrom="paragraph">
                <wp:posOffset>-264795</wp:posOffset>
              </wp:positionV>
              <wp:extent cx="7867015" cy="533400"/>
              <wp:effectExtent l="0" t="0" r="0" b="0"/>
              <wp:wrapNone/>
              <wp:docPr id="59788466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67015" cy="533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FFE9" id="Rectangle 3" o:spid="_x0000_s1026" alt="&quot;&quot;" style="position:absolute;margin-left:-51.65pt;margin-top:-20.85pt;width:619.4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" fillcolor="#0d6cb9 [3204]" stroked="f" strokeweight="2pt"/>
          </w:pict>
        </mc:Fallback>
      </mc:AlternateContent>
    </w:r>
    <w:r w:rsidR="00EA73CD">
      <w:rPr>
        <w:noProof/>
      </w:rPr>
      <w:drawing>
        <wp:anchor distT="0" distB="0" distL="114300" distR="114300" simplePos="0" relativeHeight="251658241" behindDoc="0" locked="0" layoutInCell="1" allowOverlap="1" wp14:anchorId="718C90AD" wp14:editId="4C00FB11">
          <wp:simplePos x="0" y="0"/>
          <wp:positionH relativeFrom="column">
            <wp:posOffset>6059805</wp:posOffset>
          </wp:positionH>
          <wp:positionV relativeFrom="paragraph">
            <wp:posOffset>-192405</wp:posOffset>
          </wp:positionV>
          <wp:extent cx="814705" cy="398780"/>
          <wp:effectExtent l="0" t="0" r="0" b="0"/>
          <wp:wrapNone/>
          <wp:docPr id="1661789395" name="Picture 4" descr="The Texas Education Agency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89395" name="Picture 4" descr="The Texas Education Agency Logo&#10;&#10;"/>
                  <pic:cNvPicPr/>
                </pic:nvPicPr>
                <pic:blipFill>
                  <a:blip r:embed="rId1">
                    <a:extLst>
                      <a:ext uri="{28A0092B-C50C-407E-A947-70E740481C1C}">
                        <a14:useLocalDpi xmlns:a14="http://schemas.microsoft.com/office/drawing/2010/main" val="0"/>
                      </a:ext>
                    </a:extLst>
                  </a:blip>
                  <a:stretch>
                    <a:fillRect/>
                  </a:stretch>
                </pic:blipFill>
                <pic:spPr>
                  <a:xfrm>
                    <a:off x="0" y="0"/>
                    <a:ext cx="814705" cy="3987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5F5C"/>
    <w:multiLevelType w:val="hybridMultilevel"/>
    <w:tmpl w:val="32AA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83DD9"/>
    <w:multiLevelType w:val="hybridMultilevel"/>
    <w:tmpl w:val="795C4E68"/>
    <w:lvl w:ilvl="0" w:tplc="72E68170">
      <w:start w:val="1"/>
      <w:numFmt w:val="decimal"/>
      <w:lvlText w:val="%1."/>
      <w:lvlJc w:val="left"/>
      <w:pPr>
        <w:ind w:left="460" w:hanging="361"/>
      </w:pPr>
      <w:rPr>
        <w:rFonts w:ascii="Calibri" w:eastAsia="Calibri" w:hAnsi="Calibri" w:cs="Calibri" w:hint="default"/>
        <w:b/>
        <w:bCs/>
        <w:i w:val="0"/>
        <w:iCs w:val="0"/>
        <w:color w:val="231F20"/>
        <w:spacing w:val="0"/>
        <w:w w:val="100"/>
        <w:sz w:val="22"/>
        <w:szCs w:val="22"/>
        <w:lang w:val="en-US" w:eastAsia="en-US" w:bidi="ar-SA"/>
      </w:rPr>
    </w:lvl>
    <w:lvl w:ilvl="1" w:tplc="5EE289F2">
      <w:start w:val="1"/>
      <w:numFmt w:val="decimal"/>
      <w:pStyle w:val="ListParagraph"/>
      <w:lvlText w:val="(%2)"/>
      <w:lvlJc w:val="left"/>
      <w:pPr>
        <w:ind w:left="1179" w:hanging="360"/>
      </w:pPr>
      <w:rPr>
        <w:rFonts w:ascii="Calibri" w:eastAsia="Calibri" w:hAnsi="Calibri" w:cs="Calibri" w:hint="default"/>
        <w:b w:val="0"/>
        <w:bCs w:val="0"/>
        <w:i w:val="0"/>
        <w:iCs w:val="0"/>
        <w:color w:val="231F20"/>
        <w:spacing w:val="0"/>
        <w:w w:val="100"/>
        <w:sz w:val="20"/>
        <w:szCs w:val="20"/>
        <w:lang w:val="en-US" w:eastAsia="en-US" w:bidi="ar-SA"/>
      </w:rPr>
    </w:lvl>
    <w:lvl w:ilvl="2" w:tplc="A05C8D3A">
      <w:numFmt w:val="bullet"/>
      <w:lvlText w:val="•"/>
      <w:lvlJc w:val="left"/>
      <w:pPr>
        <w:ind w:left="1180" w:hanging="360"/>
      </w:pPr>
      <w:rPr>
        <w:rFonts w:hint="default"/>
        <w:lang w:val="en-US" w:eastAsia="en-US" w:bidi="ar-SA"/>
      </w:rPr>
    </w:lvl>
    <w:lvl w:ilvl="3" w:tplc="621C5E94">
      <w:numFmt w:val="bullet"/>
      <w:lvlText w:val="•"/>
      <w:lvlJc w:val="left"/>
      <w:pPr>
        <w:ind w:left="2227" w:hanging="360"/>
      </w:pPr>
      <w:rPr>
        <w:rFonts w:hint="default"/>
        <w:lang w:val="en-US" w:eastAsia="en-US" w:bidi="ar-SA"/>
      </w:rPr>
    </w:lvl>
    <w:lvl w:ilvl="4" w:tplc="EA98500A">
      <w:numFmt w:val="bullet"/>
      <w:lvlText w:val="•"/>
      <w:lvlJc w:val="left"/>
      <w:pPr>
        <w:ind w:left="3275" w:hanging="360"/>
      </w:pPr>
      <w:rPr>
        <w:rFonts w:hint="default"/>
        <w:lang w:val="en-US" w:eastAsia="en-US" w:bidi="ar-SA"/>
      </w:rPr>
    </w:lvl>
    <w:lvl w:ilvl="5" w:tplc="1BF61764">
      <w:numFmt w:val="bullet"/>
      <w:lvlText w:val="•"/>
      <w:lvlJc w:val="left"/>
      <w:pPr>
        <w:ind w:left="4322" w:hanging="360"/>
      </w:pPr>
      <w:rPr>
        <w:rFonts w:hint="default"/>
        <w:lang w:val="en-US" w:eastAsia="en-US" w:bidi="ar-SA"/>
      </w:rPr>
    </w:lvl>
    <w:lvl w:ilvl="6" w:tplc="9606CC50">
      <w:numFmt w:val="bullet"/>
      <w:lvlText w:val="•"/>
      <w:lvlJc w:val="left"/>
      <w:pPr>
        <w:ind w:left="5370" w:hanging="360"/>
      </w:pPr>
      <w:rPr>
        <w:rFonts w:hint="default"/>
        <w:lang w:val="en-US" w:eastAsia="en-US" w:bidi="ar-SA"/>
      </w:rPr>
    </w:lvl>
    <w:lvl w:ilvl="7" w:tplc="A6CEC23C">
      <w:numFmt w:val="bullet"/>
      <w:lvlText w:val="•"/>
      <w:lvlJc w:val="left"/>
      <w:pPr>
        <w:ind w:left="6417" w:hanging="360"/>
      </w:pPr>
      <w:rPr>
        <w:rFonts w:hint="default"/>
        <w:lang w:val="en-US" w:eastAsia="en-US" w:bidi="ar-SA"/>
      </w:rPr>
    </w:lvl>
    <w:lvl w:ilvl="8" w:tplc="0E121C10">
      <w:numFmt w:val="bullet"/>
      <w:lvlText w:val="•"/>
      <w:lvlJc w:val="left"/>
      <w:pPr>
        <w:ind w:left="7465" w:hanging="360"/>
      </w:pPr>
      <w:rPr>
        <w:rFonts w:hint="default"/>
        <w:lang w:val="en-US" w:eastAsia="en-US" w:bidi="ar-SA"/>
      </w:rPr>
    </w:lvl>
  </w:abstractNum>
  <w:abstractNum w:abstractNumId="2" w15:restartNumberingAfterBreak="0">
    <w:nsid w:val="64CD66EB"/>
    <w:multiLevelType w:val="hybridMultilevel"/>
    <w:tmpl w:val="EC12FF1E"/>
    <w:lvl w:ilvl="0" w:tplc="EEB8C2F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369466">
    <w:abstractNumId w:val="1"/>
  </w:num>
  <w:num w:numId="2" w16cid:durableId="686758290">
    <w:abstractNumId w:val="0"/>
  </w:num>
  <w:num w:numId="3" w16cid:durableId="20017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E9"/>
    <w:rsid w:val="00000FF6"/>
    <w:rsid w:val="000040B2"/>
    <w:rsid w:val="00005484"/>
    <w:rsid w:val="00005F6C"/>
    <w:rsid w:val="00011127"/>
    <w:rsid w:val="00011433"/>
    <w:rsid w:val="000213E7"/>
    <w:rsid w:val="0002154B"/>
    <w:rsid w:val="00022AF1"/>
    <w:rsid w:val="00023E0C"/>
    <w:rsid w:val="000264A2"/>
    <w:rsid w:val="0002675D"/>
    <w:rsid w:val="0002692D"/>
    <w:rsid w:val="0002745B"/>
    <w:rsid w:val="00034BDF"/>
    <w:rsid w:val="00045365"/>
    <w:rsid w:val="000472EC"/>
    <w:rsid w:val="00047ACB"/>
    <w:rsid w:val="00053691"/>
    <w:rsid w:val="00056B7D"/>
    <w:rsid w:val="0005729D"/>
    <w:rsid w:val="00062AE5"/>
    <w:rsid w:val="000668F4"/>
    <w:rsid w:val="000672A2"/>
    <w:rsid w:val="000673C6"/>
    <w:rsid w:val="00074953"/>
    <w:rsid w:val="0007721E"/>
    <w:rsid w:val="00082144"/>
    <w:rsid w:val="000833AF"/>
    <w:rsid w:val="00095671"/>
    <w:rsid w:val="0009640F"/>
    <w:rsid w:val="0009654F"/>
    <w:rsid w:val="000A1097"/>
    <w:rsid w:val="000A28C5"/>
    <w:rsid w:val="000A30AD"/>
    <w:rsid w:val="000A3701"/>
    <w:rsid w:val="000B03DD"/>
    <w:rsid w:val="000B2A46"/>
    <w:rsid w:val="000C5115"/>
    <w:rsid w:val="000C5AEB"/>
    <w:rsid w:val="000D0314"/>
    <w:rsid w:val="000D1467"/>
    <w:rsid w:val="000D21C8"/>
    <w:rsid w:val="000D267B"/>
    <w:rsid w:val="000D4396"/>
    <w:rsid w:val="000E1C50"/>
    <w:rsid w:val="000E25B8"/>
    <w:rsid w:val="000F26CE"/>
    <w:rsid w:val="000F71EF"/>
    <w:rsid w:val="00101277"/>
    <w:rsid w:val="00101896"/>
    <w:rsid w:val="001079AC"/>
    <w:rsid w:val="00112419"/>
    <w:rsid w:val="001143AC"/>
    <w:rsid w:val="00124D03"/>
    <w:rsid w:val="0012764B"/>
    <w:rsid w:val="001325CF"/>
    <w:rsid w:val="00132740"/>
    <w:rsid w:val="00134261"/>
    <w:rsid w:val="00135FFD"/>
    <w:rsid w:val="00140539"/>
    <w:rsid w:val="00147602"/>
    <w:rsid w:val="00151ECB"/>
    <w:rsid w:val="00154312"/>
    <w:rsid w:val="00155651"/>
    <w:rsid w:val="001657F2"/>
    <w:rsid w:val="001756B5"/>
    <w:rsid w:val="001829BA"/>
    <w:rsid w:val="00182A3E"/>
    <w:rsid w:val="0018755E"/>
    <w:rsid w:val="001A05B2"/>
    <w:rsid w:val="001A251D"/>
    <w:rsid w:val="001B0D96"/>
    <w:rsid w:val="001B15BB"/>
    <w:rsid w:val="001B3531"/>
    <w:rsid w:val="001B4985"/>
    <w:rsid w:val="001B6251"/>
    <w:rsid w:val="001B77EA"/>
    <w:rsid w:val="001C51AC"/>
    <w:rsid w:val="001CC979"/>
    <w:rsid w:val="001D1024"/>
    <w:rsid w:val="001D11CE"/>
    <w:rsid w:val="001D5E65"/>
    <w:rsid w:val="001D7679"/>
    <w:rsid w:val="001E17E2"/>
    <w:rsid w:val="001E1D48"/>
    <w:rsid w:val="001E35C8"/>
    <w:rsid w:val="001E3C32"/>
    <w:rsid w:val="001E4B3D"/>
    <w:rsid w:val="001F093B"/>
    <w:rsid w:val="001F3590"/>
    <w:rsid w:val="001F41CA"/>
    <w:rsid w:val="001F67FC"/>
    <w:rsid w:val="00200C90"/>
    <w:rsid w:val="00202B28"/>
    <w:rsid w:val="00203B2A"/>
    <w:rsid w:val="00206661"/>
    <w:rsid w:val="0021121F"/>
    <w:rsid w:val="0021273D"/>
    <w:rsid w:val="00212C8A"/>
    <w:rsid w:val="00223451"/>
    <w:rsid w:val="0022361D"/>
    <w:rsid w:val="002247E9"/>
    <w:rsid w:val="00225042"/>
    <w:rsid w:val="002318FE"/>
    <w:rsid w:val="002341DD"/>
    <w:rsid w:val="00234A9E"/>
    <w:rsid w:val="002356DD"/>
    <w:rsid w:val="00240D22"/>
    <w:rsid w:val="00244B4D"/>
    <w:rsid w:val="00244E5A"/>
    <w:rsid w:val="00250A12"/>
    <w:rsid w:val="00250C2E"/>
    <w:rsid w:val="00253B44"/>
    <w:rsid w:val="002565C5"/>
    <w:rsid w:val="00265443"/>
    <w:rsid w:val="002663C7"/>
    <w:rsid w:val="00266DA5"/>
    <w:rsid w:val="00266E8E"/>
    <w:rsid w:val="00273D96"/>
    <w:rsid w:val="00276E54"/>
    <w:rsid w:val="002856FD"/>
    <w:rsid w:val="00293184"/>
    <w:rsid w:val="00295D8A"/>
    <w:rsid w:val="002A0DA0"/>
    <w:rsid w:val="002A23D3"/>
    <w:rsid w:val="002A39A8"/>
    <w:rsid w:val="002B0A04"/>
    <w:rsid w:val="002B1C17"/>
    <w:rsid w:val="002B1E7F"/>
    <w:rsid w:val="002B3A18"/>
    <w:rsid w:val="002B41D7"/>
    <w:rsid w:val="002B42BB"/>
    <w:rsid w:val="002B62D4"/>
    <w:rsid w:val="002C590F"/>
    <w:rsid w:val="002C7733"/>
    <w:rsid w:val="002D7049"/>
    <w:rsid w:val="002E3B76"/>
    <w:rsid w:val="002E6EE0"/>
    <w:rsid w:val="002F0F38"/>
    <w:rsid w:val="003001B8"/>
    <w:rsid w:val="003037E4"/>
    <w:rsid w:val="00303A6B"/>
    <w:rsid w:val="00307718"/>
    <w:rsid w:val="0031052D"/>
    <w:rsid w:val="00315422"/>
    <w:rsid w:val="00320460"/>
    <w:rsid w:val="00323C84"/>
    <w:rsid w:val="00324313"/>
    <w:rsid w:val="00332E4F"/>
    <w:rsid w:val="0033338B"/>
    <w:rsid w:val="00333A4D"/>
    <w:rsid w:val="00334A4D"/>
    <w:rsid w:val="00337116"/>
    <w:rsid w:val="00337DE2"/>
    <w:rsid w:val="003573B5"/>
    <w:rsid w:val="0036004D"/>
    <w:rsid w:val="00371F67"/>
    <w:rsid w:val="00373D9A"/>
    <w:rsid w:val="00376CE2"/>
    <w:rsid w:val="003807C4"/>
    <w:rsid w:val="00381587"/>
    <w:rsid w:val="00383837"/>
    <w:rsid w:val="00383F14"/>
    <w:rsid w:val="00384B56"/>
    <w:rsid w:val="00384E9F"/>
    <w:rsid w:val="00390855"/>
    <w:rsid w:val="003A1F8B"/>
    <w:rsid w:val="003A2D6B"/>
    <w:rsid w:val="003A2F4A"/>
    <w:rsid w:val="003A7CC8"/>
    <w:rsid w:val="003B036A"/>
    <w:rsid w:val="003B1104"/>
    <w:rsid w:val="003B361E"/>
    <w:rsid w:val="003B6745"/>
    <w:rsid w:val="003B77B6"/>
    <w:rsid w:val="003C163E"/>
    <w:rsid w:val="003C1D37"/>
    <w:rsid w:val="003C1EA9"/>
    <w:rsid w:val="003C773A"/>
    <w:rsid w:val="003D1396"/>
    <w:rsid w:val="003D34AA"/>
    <w:rsid w:val="003D3854"/>
    <w:rsid w:val="003E6E6D"/>
    <w:rsid w:val="003F3B91"/>
    <w:rsid w:val="003F75D6"/>
    <w:rsid w:val="00406C21"/>
    <w:rsid w:val="00410D59"/>
    <w:rsid w:val="00412A0F"/>
    <w:rsid w:val="004177E2"/>
    <w:rsid w:val="00421800"/>
    <w:rsid w:val="004225A7"/>
    <w:rsid w:val="00425635"/>
    <w:rsid w:val="00425B98"/>
    <w:rsid w:val="00425FB7"/>
    <w:rsid w:val="00430F53"/>
    <w:rsid w:val="00432926"/>
    <w:rsid w:val="00435E7B"/>
    <w:rsid w:val="00440FDC"/>
    <w:rsid w:val="004420F2"/>
    <w:rsid w:val="00442C1E"/>
    <w:rsid w:val="004447CD"/>
    <w:rsid w:val="00444A3C"/>
    <w:rsid w:val="004451F6"/>
    <w:rsid w:val="00455BF4"/>
    <w:rsid w:val="004630A7"/>
    <w:rsid w:val="004815ED"/>
    <w:rsid w:val="00481F4C"/>
    <w:rsid w:val="0048399F"/>
    <w:rsid w:val="00483B2E"/>
    <w:rsid w:val="00486323"/>
    <w:rsid w:val="004909C3"/>
    <w:rsid w:val="004963DA"/>
    <w:rsid w:val="004A1C35"/>
    <w:rsid w:val="004A3D02"/>
    <w:rsid w:val="004A402C"/>
    <w:rsid w:val="004A4240"/>
    <w:rsid w:val="004A6501"/>
    <w:rsid w:val="004B050D"/>
    <w:rsid w:val="004B0641"/>
    <w:rsid w:val="004B1BD0"/>
    <w:rsid w:val="004B3B27"/>
    <w:rsid w:val="004B618F"/>
    <w:rsid w:val="004B762D"/>
    <w:rsid w:val="004B76D4"/>
    <w:rsid w:val="004C11CB"/>
    <w:rsid w:val="004C1AD8"/>
    <w:rsid w:val="004C652A"/>
    <w:rsid w:val="004D0FDB"/>
    <w:rsid w:val="004D4D4A"/>
    <w:rsid w:val="004D58CB"/>
    <w:rsid w:val="004D7ED6"/>
    <w:rsid w:val="004E1EB8"/>
    <w:rsid w:val="004E3033"/>
    <w:rsid w:val="004F39B5"/>
    <w:rsid w:val="004F5E75"/>
    <w:rsid w:val="004F7724"/>
    <w:rsid w:val="005030B7"/>
    <w:rsid w:val="005046C2"/>
    <w:rsid w:val="005065E8"/>
    <w:rsid w:val="00514B29"/>
    <w:rsid w:val="005156D1"/>
    <w:rsid w:val="00520498"/>
    <w:rsid w:val="00520A12"/>
    <w:rsid w:val="0052222F"/>
    <w:rsid w:val="00523586"/>
    <w:rsid w:val="005274D7"/>
    <w:rsid w:val="00527589"/>
    <w:rsid w:val="0053396A"/>
    <w:rsid w:val="00551796"/>
    <w:rsid w:val="00552817"/>
    <w:rsid w:val="0055362A"/>
    <w:rsid w:val="005565B2"/>
    <w:rsid w:val="005615C6"/>
    <w:rsid w:val="00561D84"/>
    <w:rsid w:val="00562407"/>
    <w:rsid w:val="00562E32"/>
    <w:rsid w:val="005654AF"/>
    <w:rsid w:val="00565F36"/>
    <w:rsid w:val="005759A0"/>
    <w:rsid w:val="00575C4D"/>
    <w:rsid w:val="0058530C"/>
    <w:rsid w:val="005870BB"/>
    <w:rsid w:val="00587C1C"/>
    <w:rsid w:val="0059031A"/>
    <w:rsid w:val="00594E13"/>
    <w:rsid w:val="00596F6B"/>
    <w:rsid w:val="005A116E"/>
    <w:rsid w:val="005A5605"/>
    <w:rsid w:val="005A64DB"/>
    <w:rsid w:val="005B22D3"/>
    <w:rsid w:val="005B4ED5"/>
    <w:rsid w:val="005B5441"/>
    <w:rsid w:val="005C1B16"/>
    <w:rsid w:val="005D1FA1"/>
    <w:rsid w:val="005D2099"/>
    <w:rsid w:val="005D4F5D"/>
    <w:rsid w:val="005D70DB"/>
    <w:rsid w:val="005D7F01"/>
    <w:rsid w:val="005E3BF3"/>
    <w:rsid w:val="005E584B"/>
    <w:rsid w:val="005F0C83"/>
    <w:rsid w:val="005F5096"/>
    <w:rsid w:val="005F5284"/>
    <w:rsid w:val="005F5AEE"/>
    <w:rsid w:val="005F67AD"/>
    <w:rsid w:val="005F67F1"/>
    <w:rsid w:val="005F733C"/>
    <w:rsid w:val="00606CE8"/>
    <w:rsid w:val="006106C5"/>
    <w:rsid w:val="00615EC4"/>
    <w:rsid w:val="006254C5"/>
    <w:rsid w:val="006257EA"/>
    <w:rsid w:val="00631823"/>
    <w:rsid w:val="00637ED1"/>
    <w:rsid w:val="0064062E"/>
    <w:rsid w:val="00643FC6"/>
    <w:rsid w:val="00645BA6"/>
    <w:rsid w:val="00650B1D"/>
    <w:rsid w:val="006577BC"/>
    <w:rsid w:val="006604FB"/>
    <w:rsid w:val="00664145"/>
    <w:rsid w:val="00674BDD"/>
    <w:rsid w:val="006766CF"/>
    <w:rsid w:val="0068137A"/>
    <w:rsid w:val="00684BD5"/>
    <w:rsid w:val="00685B1C"/>
    <w:rsid w:val="00686819"/>
    <w:rsid w:val="00690820"/>
    <w:rsid w:val="006954DD"/>
    <w:rsid w:val="006960D6"/>
    <w:rsid w:val="00697B5B"/>
    <w:rsid w:val="006A14CA"/>
    <w:rsid w:val="006A3B3C"/>
    <w:rsid w:val="006A3DD6"/>
    <w:rsid w:val="006A6626"/>
    <w:rsid w:val="006B1A1D"/>
    <w:rsid w:val="006B49B1"/>
    <w:rsid w:val="006B4CB5"/>
    <w:rsid w:val="006C10D6"/>
    <w:rsid w:val="006C153D"/>
    <w:rsid w:val="006D5B43"/>
    <w:rsid w:val="006D6121"/>
    <w:rsid w:val="006D62C5"/>
    <w:rsid w:val="006D762A"/>
    <w:rsid w:val="006D7D20"/>
    <w:rsid w:val="006E32BD"/>
    <w:rsid w:val="006E3C42"/>
    <w:rsid w:val="006E6144"/>
    <w:rsid w:val="006F2BBF"/>
    <w:rsid w:val="00701DD2"/>
    <w:rsid w:val="0070291E"/>
    <w:rsid w:val="00707CB0"/>
    <w:rsid w:val="0071140B"/>
    <w:rsid w:val="007121FD"/>
    <w:rsid w:val="00720751"/>
    <w:rsid w:val="0072388C"/>
    <w:rsid w:val="007252D5"/>
    <w:rsid w:val="00725421"/>
    <w:rsid w:val="00735C0B"/>
    <w:rsid w:val="00735D2C"/>
    <w:rsid w:val="007400F3"/>
    <w:rsid w:val="00743BE9"/>
    <w:rsid w:val="00744326"/>
    <w:rsid w:val="0074620E"/>
    <w:rsid w:val="007467B8"/>
    <w:rsid w:val="0075186C"/>
    <w:rsid w:val="00754116"/>
    <w:rsid w:val="007549AC"/>
    <w:rsid w:val="007654D9"/>
    <w:rsid w:val="00767B83"/>
    <w:rsid w:val="007802D5"/>
    <w:rsid w:val="00781FC5"/>
    <w:rsid w:val="007820ED"/>
    <w:rsid w:val="007824B0"/>
    <w:rsid w:val="00783381"/>
    <w:rsid w:val="007844F8"/>
    <w:rsid w:val="0078453D"/>
    <w:rsid w:val="007874A7"/>
    <w:rsid w:val="00793224"/>
    <w:rsid w:val="00796F1F"/>
    <w:rsid w:val="007977DA"/>
    <w:rsid w:val="007A226A"/>
    <w:rsid w:val="007A4A9E"/>
    <w:rsid w:val="007A5EC3"/>
    <w:rsid w:val="007A660F"/>
    <w:rsid w:val="007B1FE7"/>
    <w:rsid w:val="007B4958"/>
    <w:rsid w:val="007B725F"/>
    <w:rsid w:val="007B7ADF"/>
    <w:rsid w:val="007C0A97"/>
    <w:rsid w:val="007C423D"/>
    <w:rsid w:val="007C4743"/>
    <w:rsid w:val="007D2D50"/>
    <w:rsid w:val="007D3667"/>
    <w:rsid w:val="007D7641"/>
    <w:rsid w:val="007E57D5"/>
    <w:rsid w:val="007E697E"/>
    <w:rsid w:val="007F2F25"/>
    <w:rsid w:val="007F383F"/>
    <w:rsid w:val="007F5B5A"/>
    <w:rsid w:val="00807418"/>
    <w:rsid w:val="00812A83"/>
    <w:rsid w:val="00813674"/>
    <w:rsid w:val="00814272"/>
    <w:rsid w:val="00820C30"/>
    <w:rsid w:val="00823547"/>
    <w:rsid w:val="0082559C"/>
    <w:rsid w:val="008261B0"/>
    <w:rsid w:val="008367C5"/>
    <w:rsid w:val="008372EC"/>
    <w:rsid w:val="008415A9"/>
    <w:rsid w:val="00855E58"/>
    <w:rsid w:val="008574D5"/>
    <w:rsid w:val="00862808"/>
    <w:rsid w:val="00871145"/>
    <w:rsid w:val="00873A38"/>
    <w:rsid w:val="008748AC"/>
    <w:rsid w:val="0087555E"/>
    <w:rsid w:val="00881349"/>
    <w:rsid w:val="008827BB"/>
    <w:rsid w:val="00890DC4"/>
    <w:rsid w:val="008926CA"/>
    <w:rsid w:val="008A1A57"/>
    <w:rsid w:val="008A1EB5"/>
    <w:rsid w:val="008A3417"/>
    <w:rsid w:val="008B5A11"/>
    <w:rsid w:val="008B7F1F"/>
    <w:rsid w:val="008C41C2"/>
    <w:rsid w:val="008C43E9"/>
    <w:rsid w:val="008C727F"/>
    <w:rsid w:val="008C78F3"/>
    <w:rsid w:val="008D721B"/>
    <w:rsid w:val="008E4117"/>
    <w:rsid w:val="008E433D"/>
    <w:rsid w:val="008E723F"/>
    <w:rsid w:val="008F0B6A"/>
    <w:rsid w:val="008F1AD8"/>
    <w:rsid w:val="008F45E7"/>
    <w:rsid w:val="00904366"/>
    <w:rsid w:val="00905D90"/>
    <w:rsid w:val="009174A4"/>
    <w:rsid w:val="00920014"/>
    <w:rsid w:val="00921A72"/>
    <w:rsid w:val="00926812"/>
    <w:rsid w:val="00927181"/>
    <w:rsid w:val="00930287"/>
    <w:rsid w:val="009309BD"/>
    <w:rsid w:val="00935CCE"/>
    <w:rsid w:val="00943750"/>
    <w:rsid w:val="00944380"/>
    <w:rsid w:val="0094664A"/>
    <w:rsid w:val="009560C0"/>
    <w:rsid w:val="009569BD"/>
    <w:rsid w:val="0095732F"/>
    <w:rsid w:val="00961B29"/>
    <w:rsid w:val="00972CFF"/>
    <w:rsid w:val="009736FD"/>
    <w:rsid w:val="00977CD1"/>
    <w:rsid w:val="009877C7"/>
    <w:rsid w:val="00987F38"/>
    <w:rsid w:val="0099220C"/>
    <w:rsid w:val="00993DAE"/>
    <w:rsid w:val="009942EB"/>
    <w:rsid w:val="0099639E"/>
    <w:rsid w:val="00996896"/>
    <w:rsid w:val="009A0D92"/>
    <w:rsid w:val="009A26D7"/>
    <w:rsid w:val="009B2056"/>
    <w:rsid w:val="009B270C"/>
    <w:rsid w:val="009B59B6"/>
    <w:rsid w:val="009B6A63"/>
    <w:rsid w:val="009D1052"/>
    <w:rsid w:val="009E6298"/>
    <w:rsid w:val="009E68A5"/>
    <w:rsid w:val="009E796C"/>
    <w:rsid w:val="009F1400"/>
    <w:rsid w:val="009F36A0"/>
    <w:rsid w:val="009F393C"/>
    <w:rsid w:val="009F3974"/>
    <w:rsid w:val="009F6DC5"/>
    <w:rsid w:val="00A00B1F"/>
    <w:rsid w:val="00A10668"/>
    <w:rsid w:val="00A11695"/>
    <w:rsid w:val="00A11C81"/>
    <w:rsid w:val="00A12A1F"/>
    <w:rsid w:val="00A14084"/>
    <w:rsid w:val="00A140D1"/>
    <w:rsid w:val="00A1438C"/>
    <w:rsid w:val="00A24F7C"/>
    <w:rsid w:val="00A32BD7"/>
    <w:rsid w:val="00A36DA5"/>
    <w:rsid w:val="00A4127F"/>
    <w:rsid w:val="00A41A2B"/>
    <w:rsid w:val="00A440AE"/>
    <w:rsid w:val="00A44C4E"/>
    <w:rsid w:val="00A537D8"/>
    <w:rsid w:val="00A55C17"/>
    <w:rsid w:val="00A60522"/>
    <w:rsid w:val="00A60CE3"/>
    <w:rsid w:val="00A60FD4"/>
    <w:rsid w:val="00A6111B"/>
    <w:rsid w:val="00A62AA4"/>
    <w:rsid w:val="00A64463"/>
    <w:rsid w:val="00A66C2F"/>
    <w:rsid w:val="00A764A9"/>
    <w:rsid w:val="00A800F1"/>
    <w:rsid w:val="00A84834"/>
    <w:rsid w:val="00A90A41"/>
    <w:rsid w:val="00AB16BA"/>
    <w:rsid w:val="00AB1893"/>
    <w:rsid w:val="00AC4EE7"/>
    <w:rsid w:val="00AD0BB0"/>
    <w:rsid w:val="00AD0F0B"/>
    <w:rsid w:val="00AD5ED1"/>
    <w:rsid w:val="00AE0B2D"/>
    <w:rsid w:val="00AE27BB"/>
    <w:rsid w:val="00AE31F5"/>
    <w:rsid w:val="00AE6632"/>
    <w:rsid w:val="00AF0621"/>
    <w:rsid w:val="00AF1A6B"/>
    <w:rsid w:val="00AF44B0"/>
    <w:rsid w:val="00AF5A31"/>
    <w:rsid w:val="00AF741A"/>
    <w:rsid w:val="00AF7D4C"/>
    <w:rsid w:val="00B015F1"/>
    <w:rsid w:val="00B03C15"/>
    <w:rsid w:val="00B0504D"/>
    <w:rsid w:val="00B061B0"/>
    <w:rsid w:val="00B13EF5"/>
    <w:rsid w:val="00B15A97"/>
    <w:rsid w:val="00B162BF"/>
    <w:rsid w:val="00B17524"/>
    <w:rsid w:val="00B202DE"/>
    <w:rsid w:val="00B210AB"/>
    <w:rsid w:val="00B27C93"/>
    <w:rsid w:val="00B27D1A"/>
    <w:rsid w:val="00B30CC6"/>
    <w:rsid w:val="00B30FB8"/>
    <w:rsid w:val="00B32E63"/>
    <w:rsid w:val="00B33216"/>
    <w:rsid w:val="00B47394"/>
    <w:rsid w:val="00B503E8"/>
    <w:rsid w:val="00B51DFD"/>
    <w:rsid w:val="00B55C2D"/>
    <w:rsid w:val="00B56278"/>
    <w:rsid w:val="00B63593"/>
    <w:rsid w:val="00B649B4"/>
    <w:rsid w:val="00B64F51"/>
    <w:rsid w:val="00B677F0"/>
    <w:rsid w:val="00B73ECB"/>
    <w:rsid w:val="00B769EC"/>
    <w:rsid w:val="00B857CA"/>
    <w:rsid w:val="00BA171A"/>
    <w:rsid w:val="00BA4501"/>
    <w:rsid w:val="00BB4DE1"/>
    <w:rsid w:val="00BB73CA"/>
    <w:rsid w:val="00BC2AE8"/>
    <w:rsid w:val="00BC2E32"/>
    <w:rsid w:val="00BD2855"/>
    <w:rsid w:val="00BD368D"/>
    <w:rsid w:val="00BD3A84"/>
    <w:rsid w:val="00BD4456"/>
    <w:rsid w:val="00BD5ED6"/>
    <w:rsid w:val="00BE4A29"/>
    <w:rsid w:val="00BE5433"/>
    <w:rsid w:val="00BE7B86"/>
    <w:rsid w:val="00BE7EC8"/>
    <w:rsid w:val="00BF5332"/>
    <w:rsid w:val="00BF59E4"/>
    <w:rsid w:val="00BF6BEA"/>
    <w:rsid w:val="00BF71AC"/>
    <w:rsid w:val="00BF7DB7"/>
    <w:rsid w:val="00C11259"/>
    <w:rsid w:val="00C11C62"/>
    <w:rsid w:val="00C145F8"/>
    <w:rsid w:val="00C157E4"/>
    <w:rsid w:val="00C20B13"/>
    <w:rsid w:val="00C22CE1"/>
    <w:rsid w:val="00C275D8"/>
    <w:rsid w:val="00C276C7"/>
    <w:rsid w:val="00C33482"/>
    <w:rsid w:val="00C341CF"/>
    <w:rsid w:val="00C427A6"/>
    <w:rsid w:val="00C47882"/>
    <w:rsid w:val="00C50A75"/>
    <w:rsid w:val="00C562E8"/>
    <w:rsid w:val="00C56A57"/>
    <w:rsid w:val="00C57FEB"/>
    <w:rsid w:val="00C67D8A"/>
    <w:rsid w:val="00C734B6"/>
    <w:rsid w:val="00C74FE1"/>
    <w:rsid w:val="00C832C4"/>
    <w:rsid w:val="00C8519B"/>
    <w:rsid w:val="00C86798"/>
    <w:rsid w:val="00C87098"/>
    <w:rsid w:val="00C8712B"/>
    <w:rsid w:val="00C924AB"/>
    <w:rsid w:val="00C92CC2"/>
    <w:rsid w:val="00CA0A2D"/>
    <w:rsid w:val="00CA3004"/>
    <w:rsid w:val="00CA6641"/>
    <w:rsid w:val="00CA713F"/>
    <w:rsid w:val="00CB1C65"/>
    <w:rsid w:val="00CB5A85"/>
    <w:rsid w:val="00CB6214"/>
    <w:rsid w:val="00CC0456"/>
    <w:rsid w:val="00CC5C32"/>
    <w:rsid w:val="00CD2396"/>
    <w:rsid w:val="00CD2DA2"/>
    <w:rsid w:val="00CD3422"/>
    <w:rsid w:val="00CD415B"/>
    <w:rsid w:val="00CD7A47"/>
    <w:rsid w:val="00CD7B4F"/>
    <w:rsid w:val="00CE2EC0"/>
    <w:rsid w:val="00CE3B2D"/>
    <w:rsid w:val="00CE4A2A"/>
    <w:rsid w:val="00CF1046"/>
    <w:rsid w:val="00D03600"/>
    <w:rsid w:val="00D04883"/>
    <w:rsid w:val="00D0582E"/>
    <w:rsid w:val="00D1213B"/>
    <w:rsid w:val="00D16B32"/>
    <w:rsid w:val="00D17222"/>
    <w:rsid w:val="00D31690"/>
    <w:rsid w:val="00D349B0"/>
    <w:rsid w:val="00D366FD"/>
    <w:rsid w:val="00D3697C"/>
    <w:rsid w:val="00D41156"/>
    <w:rsid w:val="00D4196D"/>
    <w:rsid w:val="00D45100"/>
    <w:rsid w:val="00D45E8E"/>
    <w:rsid w:val="00D47E99"/>
    <w:rsid w:val="00D51998"/>
    <w:rsid w:val="00D52BFB"/>
    <w:rsid w:val="00D5416A"/>
    <w:rsid w:val="00D54F6B"/>
    <w:rsid w:val="00D57B6E"/>
    <w:rsid w:val="00D57F44"/>
    <w:rsid w:val="00D60321"/>
    <w:rsid w:val="00D61BC8"/>
    <w:rsid w:val="00D634E9"/>
    <w:rsid w:val="00D63FBF"/>
    <w:rsid w:val="00D66302"/>
    <w:rsid w:val="00D67281"/>
    <w:rsid w:val="00D71FE6"/>
    <w:rsid w:val="00D77234"/>
    <w:rsid w:val="00D81B99"/>
    <w:rsid w:val="00D87386"/>
    <w:rsid w:val="00D92392"/>
    <w:rsid w:val="00D97B6C"/>
    <w:rsid w:val="00DA0009"/>
    <w:rsid w:val="00DA4100"/>
    <w:rsid w:val="00DA4FC5"/>
    <w:rsid w:val="00DB1EA7"/>
    <w:rsid w:val="00DB6C38"/>
    <w:rsid w:val="00DC147C"/>
    <w:rsid w:val="00DC4462"/>
    <w:rsid w:val="00DD177F"/>
    <w:rsid w:val="00DD1BFB"/>
    <w:rsid w:val="00DD5C75"/>
    <w:rsid w:val="00DD726D"/>
    <w:rsid w:val="00DD755F"/>
    <w:rsid w:val="00DE3F7F"/>
    <w:rsid w:val="00DF081A"/>
    <w:rsid w:val="00E0234B"/>
    <w:rsid w:val="00E0279F"/>
    <w:rsid w:val="00E054EB"/>
    <w:rsid w:val="00E062C9"/>
    <w:rsid w:val="00E249FE"/>
    <w:rsid w:val="00E26765"/>
    <w:rsid w:val="00E44ACD"/>
    <w:rsid w:val="00E522B6"/>
    <w:rsid w:val="00E5502E"/>
    <w:rsid w:val="00E71F2A"/>
    <w:rsid w:val="00E7786A"/>
    <w:rsid w:val="00E87A95"/>
    <w:rsid w:val="00E91592"/>
    <w:rsid w:val="00E91D64"/>
    <w:rsid w:val="00EA2AC9"/>
    <w:rsid w:val="00EA6EC3"/>
    <w:rsid w:val="00EA73CD"/>
    <w:rsid w:val="00EB0ABF"/>
    <w:rsid w:val="00EB151E"/>
    <w:rsid w:val="00EB1DE3"/>
    <w:rsid w:val="00EB4B3F"/>
    <w:rsid w:val="00EB63AD"/>
    <w:rsid w:val="00EB7D94"/>
    <w:rsid w:val="00ED4235"/>
    <w:rsid w:val="00ED542E"/>
    <w:rsid w:val="00ED5442"/>
    <w:rsid w:val="00ED591E"/>
    <w:rsid w:val="00EE03D0"/>
    <w:rsid w:val="00EE09EB"/>
    <w:rsid w:val="00EE31C5"/>
    <w:rsid w:val="00EE74B2"/>
    <w:rsid w:val="00EF0D53"/>
    <w:rsid w:val="00EF2585"/>
    <w:rsid w:val="00EF5A68"/>
    <w:rsid w:val="00F0159F"/>
    <w:rsid w:val="00F036E9"/>
    <w:rsid w:val="00F1377B"/>
    <w:rsid w:val="00F16649"/>
    <w:rsid w:val="00F21D44"/>
    <w:rsid w:val="00F32CEA"/>
    <w:rsid w:val="00F36653"/>
    <w:rsid w:val="00F47FAF"/>
    <w:rsid w:val="00F54091"/>
    <w:rsid w:val="00F57297"/>
    <w:rsid w:val="00F71879"/>
    <w:rsid w:val="00F877E8"/>
    <w:rsid w:val="00F90324"/>
    <w:rsid w:val="00F929E7"/>
    <w:rsid w:val="00F95D59"/>
    <w:rsid w:val="00FA0A1C"/>
    <w:rsid w:val="00FA3041"/>
    <w:rsid w:val="00FA4894"/>
    <w:rsid w:val="00FA6F16"/>
    <w:rsid w:val="00FA7090"/>
    <w:rsid w:val="00FA7B89"/>
    <w:rsid w:val="00FA7F80"/>
    <w:rsid w:val="00FB3615"/>
    <w:rsid w:val="00FB54B9"/>
    <w:rsid w:val="00FB750F"/>
    <w:rsid w:val="00FC3995"/>
    <w:rsid w:val="00FC42AC"/>
    <w:rsid w:val="00FC7672"/>
    <w:rsid w:val="00FC774B"/>
    <w:rsid w:val="00FD074E"/>
    <w:rsid w:val="00FD44A4"/>
    <w:rsid w:val="00FE2E93"/>
    <w:rsid w:val="00FE653C"/>
    <w:rsid w:val="00FE6DF6"/>
    <w:rsid w:val="00FF40E9"/>
    <w:rsid w:val="03195E52"/>
    <w:rsid w:val="05069639"/>
    <w:rsid w:val="07DB6C6D"/>
    <w:rsid w:val="09D53360"/>
    <w:rsid w:val="0B5D8BD2"/>
    <w:rsid w:val="0E5A1A6A"/>
    <w:rsid w:val="10C0E620"/>
    <w:rsid w:val="111ACD4E"/>
    <w:rsid w:val="13C67248"/>
    <w:rsid w:val="16A46D98"/>
    <w:rsid w:val="1A529D51"/>
    <w:rsid w:val="1FAFD9FF"/>
    <w:rsid w:val="1FC44442"/>
    <w:rsid w:val="1FDAB890"/>
    <w:rsid w:val="22329709"/>
    <w:rsid w:val="22F28B08"/>
    <w:rsid w:val="25A7A913"/>
    <w:rsid w:val="2C5D4119"/>
    <w:rsid w:val="2D65917B"/>
    <w:rsid w:val="341EA488"/>
    <w:rsid w:val="362CA73D"/>
    <w:rsid w:val="3747DA8A"/>
    <w:rsid w:val="37A811E6"/>
    <w:rsid w:val="38C03227"/>
    <w:rsid w:val="3B61B449"/>
    <w:rsid w:val="3B9F5F24"/>
    <w:rsid w:val="3C1662FF"/>
    <w:rsid w:val="3CB10029"/>
    <w:rsid w:val="3F234221"/>
    <w:rsid w:val="40C62EAE"/>
    <w:rsid w:val="4655450B"/>
    <w:rsid w:val="47C3FB12"/>
    <w:rsid w:val="4C515637"/>
    <w:rsid w:val="5168A239"/>
    <w:rsid w:val="542E84A6"/>
    <w:rsid w:val="57895982"/>
    <w:rsid w:val="5B186FC4"/>
    <w:rsid w:val="5B69A8F1"/>
    <w:rsid w:val="5BB62879"/>
    <w:rsid w:val="61D58CF3"/>
    <w:rsid w:val="62FAB70B"/>
    <w:rsid w:val="64868C62"/>
    <w:rsid w:val="66C30F82"/>
    <w:rsid w:val="68454F6B"/>
    <w:rsid w:val="6A1AD303"/>
    <w:rsid w:val="6A532732"/>
    <w:rsid w:val="6D8AD19B"/>
    <w:rsid w:val="6E3CE142"/>
    <w:rsid w:val="70EC7FE8"/>
    <w:rsid w:val="78FFF33A"/>
    <w:rsid w:val="798800FB"/>
    <w:rsid w:val="7C6B204E"/>
    <w:rsid w:val="7D384C00"/>
    <w:rsid w:val="7D9355E9"/>
    <w:rsid w:val="7D935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412E"/>
  <w15:docId w15:val="{3E8D7611-E72E-425D-A6A3-C4BEA962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DB"/>
    <w:pPr>
      <w:spacing w:before="60" w:after="60"/>
    </w:pPr>
    <w:rPr>
      <w:rFonts w:ascii="Calibri" w:eastAsia="Calibri" w:hAnsi="Calibri" w:cs="Calibri"/>
    </w:rPr>
  </w:style>
  <w:style w:type="paragraph" w:styleId="Heading1">
    <w:name w:val="heading 1"/>
    <w:basedOn w:val="Normal"/>
    <w:uiPriority w:val="9"/>
    <w:qFormat/>
    <w:rsid w:val="004420F2"/>
    <w:pPr>
      <w:pBdr>
        <w:top w:val="single" w:sz="12" w:space="1" w:color="0D6CB9" w:themeColor="accent1"/>
        <w:bottom w:val="single" w:sz="12" w:space="1" w:color="0D6CB9" w:themeColor="accent1"/>
      </w:pBdr>
      <w:shd w:val="clear" w:color="auto" w:fill="C4E2FB" w:themeFill="accent1" w:themeFillTint="33"/>
      <w:jc w:val="center"/>
      <w:outlineLvl w:val="0"/>
    </w:pPr>
    <w:rPr>
      <w:b/>
      <w:bCs/>
      <w:color w:val="0D6CB9" w:themeColor="accent1"/>
      <w:sz w:val="32"/>
      <w:szCs w:val="32"/>
    </w:rPr>
  </w:style>
  <w:style w:type="paragraph" w:styleId="Heading2">
    <w:name w:val="heading 2"/>
    <w:basedOn w:val="Normal"/>
    <w:next w:val="Normal"/>
    <w:link w:val="Heading2Char"/>
    <w:uiPriority w:val="9"/>
    <w:unhideWhenUsed/>
    <w:qFormat/>
    <w:rsid w:val="005A64DB"/>
    <w:pPr>
      <w:keepNext/>
      <w:keepLines/>
      <w:numPr>
        <w:numId w:val="3"/>
      </w:numPr>
      <w:pBdr>
        <w:bottom w:val="single" w:sz="12" w:space="1" w:color="0D6CB9" w:themeColor="accent1"/>
      </w:pBdr>
      <w:spacing w:before="0" w:after="0"/>
      <w:ind w:left="360"/>
      <w:outlineLvl w:val="1"/>
    </w:pPr>
    <w:rPr>
      <w:rFonts w:eastAsiaTheme="majorEastAsia"/>
      <w:b/>
      <w:bCs/>
      <w:color w:val="0D6CB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link w:val="TitleChar"/>
    <w:uiPriority w:val="10"/>
    <w:qFormat/>
    <w:pPr>
      <w:ind w:left="100" w:right="4899"/>
    </w:pPr>
    <w:rPr>
      <w:b/>
      <w:bCs/>
      <w:sz w:val="24"/>
      <w:szCs w:val="24"/>
    </w:rPr>
  </w:style>
  <w:style w:type="paragraph" w:styleId="ListParagraph">
    <w:name w:val="List Paragraph"/>
    <w:basedOn w:val="Normal"/>
    <w:uiPriority w:val="1"/>
    <w:qFormat/>
    <w:rsid w:val="00425635"/>
    <w:pPr>
      <w:numPr>
        <w:ilvl w:val="1"/>
        <w:numId w:val="1"/>
      </w:numPr>
      <w:tabs>
        <w:tab w:val="left" w:pos="1080"/>
      </w:tabs>
      <w:ind w:left="1080" w:hanging="450"/>
    </w:pPr>
    <w:rPr>
      <w:color w:val="231F2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31823"/>
    <w:rPr>
      <w:sz w:val="16"/>
      <w:szCs w:val="16"/>
    </w:rPr>
  </w:style>
  <w:style w:type="paragraph" w:styleId="CommentText">
    <w:name w:val="annotation text"/>
    <w:basedOn w:val="Normal"/>
    <w:link w:val="CommentTextChar"/>
    <w:uiPriority w:val="99"/>
    <w:unhideWhenUsed/>
    <w:rsid w:val="00631823"/>
    <w:rPr>
      <w:sz w:val="20"/>
      <w:szCs w:val="20"/>
    </w:rPr>
  </w:style>
  <w:style w:type="character" w:customStyle="1" w:styleId="CommentTextChar">
    <w:name w:val="Comment Text Char"/>
    <w:basedOn w:val="DefaultParagraphFont"/>
    <w:link w:val="CommentText"/>
    <w:uiPriority w:val="99"/>
    <w:rsid w:val="0063182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823"/>
    <w:rPr>
      <w:b/>
      <w:bCs/>
    </w:rPr>
  </w:style>
  <w:style w:type="character" w:customStyle="1" w:styleId="CommentSubjectChar">
    <w:name w:val="Comment Subject Char"/>
    <w:basedOn w:val="CommentTextChar"/>
    <w:link w:val="CommentSubject"/>
    <w:uiPriority w:val="99"/>
    <w:semiHidden/>
    <w:rsid w:val="00631823"/>
    <w:rPr>
      <w:rFonts w:ascii="Calibri" w:eastAsia="Calibri" w:hAnsi="Calibri" w:cs="Calibri"/>
      <w:b/>
      <w:bCs/>
      <w:sz w:val="20"/>
      <w:szCs w:val="20"/>
    </w:rPr>
  </w:style>
  <w:style w:type="paragraph" w:styleId="Header">
    <w:name w:val="header"/>
    <w:basedOn w:val="Normal"/>
    <w:link w:val="HeaderChar"/>
    <w:uiPriority w:val="99"/>
    <w:unhideWhenUsed/>
    <w:rsid w:val="005D7F01"/>
    <w:pPr>
      <w:tabs>
        <w:tab w:val="center" w:pos="4680"/>
        <w:tab w:val="right" w:pos="9360"/>
      </w:tabs>
    </w:pPr>
  </w:style>
  <w:style w:type="character" w:customStyle="1" w:styleId="HeaderChar">
    <w:name w:val="Header Char"/>
    <w:basedOn w:val="DefaultParagraphFont"/>
    <w:link w:val="Header"/>
    <w:uiPriority w:val="99"/>
    <w:rsid w:val="005D7F01"/>
    <w:rPr>
      <w:rFonts w:ascii="Calibri" w:eastAsia="Calibri" w:hAnsi="Calibri" w:cs="Calibri"/>
    </w:rPr>
  </w:style>
  <w:style w:type="paragraph" w:styleId="Footer">
    <w:name w:val="footer"/>
    <w:basedOn w:val="Normal"/>
    <w:link w:val="FooterChar"/>
    <w:uiPriority w:val="99"/>
    <w:unhideWhenUsed/>
    <w:rsid w:val="005D7F01"/>
    <w:pPr>
      <w:tabs>
        <w:tab w:val="center" w:pos="4680"/>
        <w:tab w:val="right" w:pos="9360"/>
      </w:tabs>
    </w:pPr>
  </w:style>
  <w:style w:type="character" w:customStyle="1" w:styleId="FooterChar">
    <w:name w:val="Footer Char"/>
    <w:basedOn w:val="DefaultParagraphFont"/>
    <w:link w:val="Footer"/>
    <w:uiPriority w:val="99"/>
    <w:rsid w:val="005D7F01"/>
    <w:rPr>
      <w:rFonts w:ascii="Calibri" w:eastAsia="Calibri" w:hAnsi="Calibri" w:cs="Calibri"/>
    </w:rPr>
  </w:style>
  <w:style w:type="paragraph" w:styleId="Revision">
    <w:name w:val="Revision"/>
    <w:hidden/>
    <w:uiPriority w:val="99"/>
    <w:semiHidden/>
    <w:rsid w:val="001B77EA"/>
    <w:pPr>
      <w:widowControl/>
      <w:autoSpaceDE/>
      <w:autoSpaceDN/>
    </w:pPr>
    <w:rPr>
      <w:rFonts w:ascii="Calibri" w:eastAsia="Calibri" w:hAnsi="Calibri" w:cs="Calibri"/>
    </w:rPr>
  </w:style>
  <w:style w:type="character" w:styleId="Hyperlink">
    <w:name w:val="Hyperlink"/>
    <w:basedOn w:val="DefaultParagraphFont"/>
    <w:uiPriority w:val="99"/>
    <w:unhideWhenUsed/>
    <w:rsid w:val="003C773A"/>
    <w:rPr>
      <w:color w:val="1682C5" w:themeColor="hyperlink"/>
      <w:u w:val="single"/>
    </w:rPr>
  </w:style>
  <w:style w:type="character" w:styleId="UnresolvedMention">
    <w:name w:val="Unresolved Mention"/>
    <w:basedOn w:val="DefaultParagraphFont"/>
    <w:uiPriority w:val="99"/>
    <w:semiHidden/>
    <w:unhideWhenUsed/>
    <w:rsid w:val="003C773A"/>
    <w:rPr>
      <w:color w:val="605E5C"/>
      <w:shd w:val="clear" w:color="auto" w:fill="E1DFDD"/>
    </w:rPr>
  </w:style>
  <w:style w:type="character" w:customStyle="1" w:styleId="TitleChar">
    <w:name w:val="Title Char"/>
    <w:basedOn w:val="DefaultParagraphFont"/>
    <w:link w:val="Title"/>
    <w:uiPriority w:val="10"/>
    <w:rsid w:val="006577BC"/>
    <w:rPr>
      <w:rFonts w:ascii="Calibri" w:eastAsia="Calibri" w:hAnsi="Calibri" w:cs="Calibri"/>
      <w:b/>
      <w:bCs/>
      <w:sz w:val="24"/>
      <w:szCs w:val="24"/>
    </w:rPr>
  </w:style>
  <w:style w:type="character" w:styleId="FollowedHyperlink">
    <w:name w:val="FollowedHyperlink"/>
    <w:basedOn w:val="DefaultParagraphFont"/>
    <w:uiPriority w:val="99"/>
    <w:semiHidden/>
    <w:unhideWhenUsed/>
    <w:rsid w:val="007C4743"/>
    <w:rPr>
      <w:color w:val="F06039" w:themeColor="followedHyperlink"/>
      <w:u w:val="single"/>
    </w:rPr>
  </w:style>
  <w:style w:type="character" w:styleId="Mention">
    <w:name w:val="Mention"/>
    <w:basedOn w:val="DefaultParagraphFont"/>
    <w:uiPriority w:val="99"/>
    <w:unhideWhenUsed/>
    <w:rsid w:val="001F67FC"/>
    <w:rPr>
      <w:color w:val="2B579A"/>
      <w:shd w:val="clear" w:color="auto" w:fill="E1DFDD"/>
    </w:rPr>
  </w:style>
  <w:style w:type="character" w:customStyle="1" w:styleId="Heading2Char">
    <w:name w:val="Heading 2 Char"/>
    <w:basedOn w:val="DefaultParagraphFont"/>
    <w:link w:val="Heading2"/>
    <w:uiPriority w:val="9"/>
    <w:rsid w:val="005A64DB"/>
    <w:rPr>
      <w:rFonts w:ascii="Calibri" w:eastAsiaTheme="majorEastAsia" w:hAnsi="Calibri" w:cs="Calibri"/>
      <w:b/>
      <w:bCs/>
      <w:color w:val="0D6CB9" w:themeColor="accent1"/>
      <w:sz w:val="24"/>
      <w:szCs w:val="24"/>
    </w:rPr>
  </w:style>
  <w:style w:type="character" w:styleId="PageNumber">
    <w:name w:val="page number"/>
    <w:basedOn w:val="DefaultParagraphFont"/>
    <w:uiPriority w:val="99"/>
    <w:semiHidden/>
    <w:unhideWhenUsed/>
    <w:rsid w:val="00C33482"/>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tps://tea.texas.gov/academics/special-student-populations/special-education/programs-and-services/student-handbook-stat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texas.gov/academics/special-student-populations/special-education/programs-and-services/student-handbook-statement-0"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a.texas.gov/academics/special-student-populations/special-education/sample-parent-notification-intervention-strategy-spanish-form.pdf"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tea.texas.gov%2Facademics%2Fspecial-student-populations%2Fspecial-education%2Fsample-parent-notification-intervention-strategy-form.pdf&amp;data=05%7C02%7CDeanna.Clemens%40tea.texas.gov%7Cbf611f1da9c5466dd0c208dd14a9541a%7C65d6b3c3723648189613248dbd713a6f%7C0%7C0%7C638689439726223407%7CUnknown%7CTWFpbGZsb3d8eyJFbXB0eU1hcGkiOnRydWUsIlYiOiIwLjAuMDAwMCIsIlAiOiJXaW4zMiIsIkFOIjoiTWFpbCIsIldUIjoyfQ%3D%3D%7C0%7C%7C%7C&amp;sdata=ADCrJqiIUd3qfiis7HZAv9oLNpkTG6fPjunGFAUXeBw%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A Colors">
      <a:dk1>
        <a:srgbClr val="000000"/>
      </a:dk1>
      <a:lt1>
        <a:srgbClr val="FFFFFF"/>
      </a:lt1>
      <a:dk2>
        <a:srgbClr val="41873F"/>
      </a:dk2>
      <a:lt2>
        <a:srgbClr val="D8D8D8"/>
      </a:lt2>
      <a:accent1>
        <a:srgbClr val="0D6CB9"/>
      </a:accent1>
      <a:accent2>
        <a:srgbClr val="F16038"/>
      </a:accent2>
      <a:accent3>
        <a:srgbClr val="B72418"/>
      </a:accent3>
      <a:accent4>
        <a:srgbClr val="704180"/>
      </a:accent4>
      <a:accent5>
        <a:srgbClr val="596167"/>
      </a:accent5>
      <a:accent6>
        <a:srgbClr val="012069"/>
      </a:accent6>
      <a:hlink>
        <a:srgbClr val="1682C5"/>
      </a:hlink>
      <a:folHlink>
        <a:srgbClr val="F0603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SB 1153 Frequently Asked Questions</vt:lpstr>
    </vt:vector>
  </TitlesOfParts>
  <Company>Universe Technical Translation</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1153 Frequently Asked Questions</dc:title>
  <dc:subject/>
  <dc:creator>Universe Technical Translation</dc:creator>
  <cp:keywords/>
  <dc:description>55198_Intervention Strategy FAQ- for Spanish translation_SP, tr. UTT, ed. RVC, 11/19/2024</dc:description>
  <cp:lastModifiedBy>Clemens, Deanna</cp:lastModifiedBy>
  <cp:revision>4</cp:revision>
  <dcterms:created xsi:type="dcterms:W3CDTF">2024-12-02T17:57:00Z</dcterms:created>
  <dcterms:modified xsi:type="dcterms:W3CDTF">2024-12-04T21:54:00Z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Acrobat Distiller 24.0 (Windows)</vt:lpwstr>
  </property>
</Properties>
</file>