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7B00" w14:textId="651B27CD" w:rsidR="001430D0" w:rsidRDefault="002442F9" w:rsidP="002442F9">
      <w:pPr>
        <w:tabs>
          <w:tab w:val="left" w:pos="7797"/>
        </w:tabs>
        <w:ind w:left="-709"/>
        <w:rPr>
          <w:rFonts w:ascii="Calibri" w:eastAsia="Calibri" w:hAnsi="Calibri" w:cs="Calibri"/>
          <w:sz w:val="36"/>
          <w:szCs w:val="36"/>
        </w:rPr>
        <w:sectPr w:rsidR="001430D0" w:rsidSect="001430D0">
          <w:footerReference w:type="default" r:id="rId9"/>
          <w:footerReference w:type="first" r:id="rId10"/>
          <w:pgSz w:w="12240" w:h="15840"/>
          <w:pgMar w:top="568" w:right="616" w:bottom="1440" w:left="1440" w:header="0" w:footer="720" w:gutter="0"/>
          <w:pgNumType w:start="1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EE9B45" wp14:editId="20902F99">
                <wp:simplePos x="0" y="0"/>
                <wp:positionH relativeFrom="column">
                  <wp:posOffset>-884555</wp:posOffset>
                </wp:positionH>
                <wp:positionV relativeFrom="paragraph">
                  <wp:posOffset>-94615</wp:posOffset>
                </wp:positionV>
                <wp:extent cx="8832850" cy="822960"/>
                <wp:effectExtent l="0" t="0" r="6350" b="0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2850" cy="822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437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DBC24" id="Rectangle: Rounded Corners 1" o:spid="_x0000_s1026" alt="&quot;&quot;" style="position:absolute;margin-left:-69.65pt;margin-top:-7.45pt;width:695.5pt;height:6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" fillcolor="#00437b" strokecolor="#243f60 [1604]" strokeweight="2pt">
                <v:path arrowok="t"/>
              </v:roundrect>
            </w:pict>
          </mc:Fallback>
        </mc:AlternateContent>
      </w:r>
      <w:r w:rsidR="001430D0">
        <w:rPr>
          <w:rFonts w:ascii="Calibri" w:eastAsia="Calibri" w:hAnsi="Calibri" w:cs="Calibri"/>
          <w:sz w:val="36"/>
          <w:szCs w:val="36"/>
        </w:rPr>
        <w:tab/>
      </w:r>
      <w:r w:rsidR="001430D0">
        <w:rPr>
          <w:noProof/>
        </w:rPr>
        <w:drawing>
          <wp:inline distT="0" distB="0" distL="0" distR="0" wp14:anchorId="6C4339EE" wp14:editId="11500084">
            <wp:extent cx="1151890" cy="575945"/>
            <wp:effectExtent l="0" t="0" r="0" b="0"/>
            <wp:docPr id="14" name="Picture 14" descr="Brandmark of TEA - Texas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Brandmark of TEA - Texas Education Agency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E4AA7" w14:textId="050064BA" w:rsidR="001C5A5B" w:rsidRPr="00E03C5C" w:rsidRDefault="00E81177" w:rsidP="00E03C5C">
      <w:pPr>
        <w:pStyle w:val="Heading1"/>
      </w:pPr>
      <w:r w:rsidRPr="00E03C5C">
        <w:t>Step 2. Resource Documents</w:t>
      </w:r>
    </w:p>
    <w:p w14:paraId="2547D468" w14:textId="77777777" w:rsidR="001C5A5B" w:rsidRDefault="00E81177" w:rsidP="002442F9">
      <w:pPr>
        <w:spacing w:before="520" w:after="120" w:line="240" w:lineRule="auto"/>
        <w:rPr>
          <w:rFonts w:ascii="Calibri" w:eastAsia="Calibri" w:hAnsi="Calibri" w:cs="Calibri"/>
          <w:color w:val="1F6096"/>
          <w:sz w:val="24"/>
          <w:szCs w:val="24"/>
        </w:rPr>
      </w:pPr>
      <w:r>
        <w:rPr>
          <w:rFonts w:ascii="Calibri" w:eastAsia="Calibri" w:hAnsi="Calibri" w:cs="Calibri"/>
          <w:color w:val="1F6096"/>
          <w:sz w:val="24"/>
          <w:szCs w:val="24"/>
        </w:rPr>
        <w:t>Blank Strategy Inventory Table</w:t>
      </w:r>
    </w:p>
    <w:tbl>
      <w:tblPr>
        <w:tblStyle w:val="a"/>
        <w:tblW w:w="9359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1587"/>
        <w:gridCol w:w="1945"/>
        <w:gridCol w:w="1944"/>
        <w:gridCol w:w="1954"/>
        <w:gridCol w:w="1929"/>
      </w:tblGrid>
      <w:tr w:rsidR="001C5A5B" w14:paraId="4DAFB699" w14:textId="77777777" w:rsidTr="00B5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86" w:type="dxa"/>
            <w:tcBorders>
              <w:right w:val="single" w:sz="4" w:space="0" w:color="4BACC6" w:themeColor="accent5"/>
            </w:tcBorders>
            <w:shd w:val="clear" w:color="auto" w:fill="CEE3F5"/>
          </w:tcPr>
          <w:p w14:paraId="4FAC654F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Overall Problem Statement:</w:t>
            </w:r>
          </w:p>
        </w:tc>
        <w:tc>
          <w:tcPr>
            <w:tcW w:w="7771" w:type="dxa"/>
            <w:gridSpan w:val="4"/>
            <w:tcBorders>
              <w:left w:val="single" w:sz="4" w:space="0" w:color="4BACC6" w:themeColor="accent5"/>
            </w:tcBorders>
            <w:shd w:val="clear" w:color="auto" w:fill="FEE5D6"/>
          </w:tcPr>
          <w:p w14:paraId="23B76523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51053009" w14:textId="77777777" w:rsidTr="00B5214C">
        <w:trPr>
          <w:jc w:val="center"/>
        </w:trPr>
        <w:tc>
          <w:tcPr>
            <w:tcW w:w="1586" w:type="dxa"/>
            <w:shd w:val="clear" w:color="auto" w:fill="CEE3F5"/>
          </w:tcPr>
          <w:p w14:paraId="68FCDEFA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CEE3F5"/>
          </w:tcPr>
          <w:p w14:paraId="4802FD07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Attracting Teachers</w:t>
            </w:r>
          </w:p>
        </w:tc>
        <w:tc>
          <w:tcPr>
            <w:tcW w:w="1944" w:type="dxa"/>
            <w:shd w:val="clear" w:color="auto" w:fill="CEE3F5"/>
          </w:tcPr>
          <w:p w14:paraId="35B1D813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Assigning Teachers</w:t>
            </w:r>
          </w:p>
        </w:tc>
        <w:tc>
          <w:tcPr>
            <w:tcW w:w="1954" w:type="dxa"/>
            <w:shd w:val="clear" w:color="auto" w:fill="CEE3F5"/>
          </w:tcPr>
          <w:p w14:paraId="02BB2547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Supporting Teachers</w:t>
            </w:r>
          </w:p>
        </w:tc>
        <w:tc>
          <w:tcPr>
            <w:tcW w:w="1929" w:type="dxa"/>
            <w:shd w:val="clear" w:color="auto" w:fill="CEE3F5"/>
          </w:tcPr>
          <w:p w14:paraId="6091B622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Retaining Teachers</w:t>
            </w:r>
          </w:p>
        </w:tc>
      </w:tr>
      <w:tr w:rsidR="001C5A5B" w14:paraId="37C7E3E8" w14:textId="77777777" w:rsidTr="00B5214C">
        <w:trPr>
          <w:trHeight w:val="2880"/>
          <w:jc w:val="center"/>
        </w:trPr>
        <w:tc>
          <w:tcPr>
            <w:tcW w:w="1586" w:type="dxa"/>
          </w:tcPr>
          <w:p w14:paraId="4F10B983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Root Causes</w:t>
            </w:r>
          </w:p>
          <w:p w14:paraId="4FA9B42D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Step 3. Conducting a Root Cause Analysis)</w:t>
            </w:r>
          </w:p>
        </w:tc>
        <w:tc>
          <w:tcPr>
            <w:tcW w:w="1944" w:type="dxa"/>
          </w:tcPr>
          <w:p w14:paraId="3C71F72B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B23F7C5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DE547E3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003AB1A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39F458F6" w14:textId="77777777" w:rsidTr="00B5214C">
        <w:trPr>
          <w:trHeight w:val="2880"/>
          <w:jc w:val="center"/>
        </w:trPr>
        <w:tc>
          <w:tcPr>
            <w:tcW w:w="1586" w:type="dxa"/>
          </w:tcPr>
          <w:p w14:paraId="0A7EFE7F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Current Programs or Policies That Address Root Causes</w:t>
            </w:r>
          </w:p>
        </w:tc>
        <w:tc>
          <w:tcPr>
            <w:tcW w:w="1944" w:type="dxa"/>
          </w:tcPr>
          <w:p w14:paraId="44F5FEFD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C441A3C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BAF3FF8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D35F492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03DD706D" w14:textId="77777777" w:rsidTr="00B5214C">
        <w:trPr>
          <w:trHeight w:val="2880"/>
          <w:jc w:val="center"/>
        </w:trPr>
        <w:tc>
          <w:tcPr>
            <w:tcW w:w="1586" w:type="dxa"/>
          </w:tcPr>
          <w:p w14:paraId="6E0599A0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Potential New or Enhanced Strategies That Address Root Causes</w:t>
            </w:r>
          </w:p>
        </w:tc>
        <w:tc>
          <w:tcPr>
            <w:tcW w:w="1944" w:type="dxa"/>
          </w:tcPr>
          <w:p w14:paraId="67E37B2B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CF91E21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C0594FC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9" w:type="dxa"/>
          </w:tcPr>
          <w:p w14:paraId="1D31357B" w14:textId="77777777" w:rsidR="001C5A5B" w:rsidRDefault="001C5A5B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12EB6AD" w14:textId="77777777" w:rsidR="001C5A5B" w:rsidRDefault="00E81177">
      <w:pPr>
        <w:keepNext/>
        <w:spacing w:before="40"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Blank Proposed Strategy Planning Template</w:t>
      </w:r>
    </w:p>
    <w:tbl>
      <w:tblPr>
        <w:tblStyle w:val="a0"/>
        <w:tblW w:w="10845" w:type="dxa"/>
        <w:jc w:val="center"/>
        <w:tblBorders>
          <w:top w:val="single" w:sz="18" w:space="0" w:color="FF8135"/>
          <w:left w:val="single" w:sz="4" w:space="0" w:color="3A90D6"/>
          <w:bottom w:val="single" w:sz="18" w:space="0" w:color="FF8135"/>
          <w:right w:val="single" w:sz="4" w:space="0" w:color="3A90D6"/>
          <w:insideH w:val="single" w:sz="4" w:space="0" w:color="3A90D6"/>
          <w:insideV w:val="single" w:sz="4" w:space="0" w:color="3A90D6"/>
        </w:tblBorders>
        <w:tblLayout w:type="fixed"/>
        <w:tblLook w:val="0620" w:firstRow="1" w:lastRow="0" w:firstColumn="0" w:lastColumn="0" w:noHBand="1" w:noVBand="1"/>
      </w:tblPr>
      <w:tblGrid>
        <w:gridCol w:w="1245"/>
        <w:gridCol w:w="1740"/>
        <w:gridCol w:w="1695"/>
        <w:gridCol w:w="1155"/>
        <w:gridCol w:w="1710"/>
        <w:gridCol w:w="1800"/>
        <w:gridCol w:w="1500"/>
      </w:tblGrid>
      <w:tr w:rsidR="001C5A5B" w14:paraId="4D86A74A" w14:textId="77777777" w:rsidTr="001C5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tcW w:w="10845" w:type="dxa"/>
            <w:gridSpan w:val="7"/>
          </w:tcPr>
          <w:p w14:paraId="5822E3B6" w14:textId="77777777" w:rsidR="001C5A5B" w:rsidRDefault="001C5A5B">
            <w:pPr>
              <w:keepNext/>
              <w:spacing w:before="40" w:after="60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</w:p>
        </w:tc>
      </w:tr>
      <w:tr w:rsidR="001C5A5B" w14:paraId="5E923751" w14:textId="77777777" w:rsidTr="001C5A5B">
        <w:trPr>
          <w:trHeight w:val="2412"/>
          <w:jc w:val="center"/>
        </w:trPr>
        <w:tc>
          <w:tcPr>
            <w:tcW w:w="1245" w:type="dxa"/>
            <w:shd w:val="clear" w:color="auto" w:fill="E7E6E6"/>
          </w:tcPr>
          <w:p w14:paraId="41CCAA7C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Proposed Strategy</w:t>
            </w:r>
          </w:p>
        </w:tc>
        <w:tc>
          <w:tcPr>
            <w:tcW w:w="1740" w:type="dxa"/>
            <w:shd w:val="clear" w:color="auto" w:fill="E7E6E6"/>
          </w:tcPr>
          <w:p w14:paraId="63B52066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Aligned to root causes</w:t>
            </w:r>
          </w:p>
          <w:p w14:paraId="36A8E297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Is this strategy aligned to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root cause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identified in Step 3? How so?</w:t>
            </w:r>
          </w:p>
        </w:tc>
        <w:tc>
          <w:tcPr>
            <w:tcW w:w="1695" w:type="dxa"/>
            <w:shd w:val="clear" w:color="auto" w:fill="E7E6E6"/>
          </w:tcPr>
          <w:p w14:paraId="0809862A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Evidence based</w:t>
            </w:r>
          </w:p>
          <w:p w14:paraId="706C9B6C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Is there evidence or research supporting this strategy? What makes us think this strategy will be effective? </w:t>
            </w:r>
          </w:p>
        </w:tc>
        <w:tc>
          <w:tcPr>
            <w:tcW w:w="1155" w:type="dxa"/>
            <w:shd w:val="clear" w:color="auto" w:fill="E7E6E6"/>
          </w:tcPr>
          <w:p w14:paraId="119377D9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Aligned to the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ESF’s  district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commitments</w:t>
            </w:r>
          </w:p>
          <w:p w14:paraId="61696BD0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Does the strategy require a district level commitment?</w:t>
            </w:r>
          </w:p>
        </w:tc>
        <w:tc>
          <w:tcPr>
            <w:tcW w:w="1710" w:type="dxa"/>
            <w:shd w:val="clear" w:color="auto" w:fill="E7E6E6"/>
          </w:tcPr>
          <w:p w14:paraId="2459FC4E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Measureable </w:t>
            </w:r>
          </w:p>
          <w:p w14:paraId="2B310BD6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(defined by data or metrics that can be analyzed).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How do we define this strategy with 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data?How</w:t>
            </w:r>
            <w:proofErr w:type="spellEnd"/>
            <w:proofErr w:type="gram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will we measure the impact of this strategy?</w:t>
            </w:r>
          </w:p>
        </w:tc>
        <w:tc>
          <w:tcPr>
            <w:tcW w:w="1800" w:type="dxa"/>
            <w:shd w:val="clear" w:color="auto" w:fill="E7E6E6"/>
          </w:tcPr>
          <w:p w14:paraId="139FDFDF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Viable</w:t>
            </w:r>
          </w:p>
          <w:p w14:paraId="775C1A4B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Can our district successfully implement this strategy? Are there barriers that will hinder full implementation of this strategy?</w:t>
            </w:r>
          </w:p>
        </w:tc>
        <w:tc>
          <w:tcPr>
            <w:tcW w:w="1500" w:type="dxa"/>
            <w:shd w:val="clear" w:color="auto" w:fill="E7E6E6"/>
          </w:tcPr>
          <w:p w14:paraId="23699680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Putting It All Together</w:t>
            </w:r>
          </w:p>
          <w:p w14:paraId="24BF6BAB" w14:textId="77777777" w:rsidR="001C5A5B" w:rsidRDefault="00E81177">
            <w:pPr>
              <w:spacing w:before="40" w:after="6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Thinking about your answers to each question, should you include this strategy in our district’s equity plan? </w:t>
            </w:r>
          </w:p>
        </w:tc>
      </w:tr>
      <w:tr w:rsidR="001C5A5B" w14:paraId="5FBB3BE9" w14:textId="77777777" w:rsidTr="001C5A5B">
        <w:trPr>
          <w:trHeight w:val="1497"/>
          <w:jc w:val="center"/>
        </w:trPr>
        <w:tc>
          <w:tcPr>
            <w:tcW w:w="1245" w:type="dxa"/>
          </w:tcPr>
          <w:p w14:paraId="2A61011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6744B1D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6727D5E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1402CD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059FC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CE92E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E7191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24A681F3" w14:textId="77777777" w:rsidTr="001C5A5B">
        <w:trPr>
          <w:trHeight w:val="1497"/>
          <w:jc w:val="center"/>
        </w:trPr>
        <w:tc>
          <w:tcPr>
            <w:tcW w:w="1245" w:type="dxa"/>
          </w:tcPr>
          <w:p w14:paraId="2CF6337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C21EDB7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CA9853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E691D19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8E1ACE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A718B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C6B1F8F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1A847F79" w14:textId="77777777" w:rsidTr="001C5A5B">
        <w:trPr>
          <w:trHeight w:val="1497"/>
          <w:jc w:val="center"/>
        </w:trPr>
        <w:tc>
          <w:tcPr>
            <w:tcW w:w="1245" w:type="dxa"/>
          </w:tcPr>
          <w:p w14:paraId="22D4085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B4FD861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12CC9A0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E3F9E12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9FF30D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3C2F3F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ED6D3C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25258DA5" w14:textId="77777777" w:rsidTr="001C5A5B">
        <w:trPr>
          <w:trHeight w:val="1497"/>
          <w:jc w:val="center"/>
        </w:trPr>
        <w:tc>
          <w:tcPr>
            <w:tcW w:w="1245" w:type="dxa"/>
          </w:tcPr>
          <w:p w14:paraId="681B1547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20C3A3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A21CEEE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E0C6BF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976F20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8EEA87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6C816F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5A5B" w14:paraId="46797D81" w14:textId="77777777" w:rsidTr="001C5A5B">
        <w:trPr>
          <w:trHeight w:val="1497"/>
          <w:jc w:val="center"/>
        </w:trPr>
        <w:tc>
          <w:tcPr>
            <w:tcW w:w="1245" w:type="dxa"/>
          </w:tcPr>
          <w:p w14:paraId="2CB7C836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1888E38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EC4C29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D695F24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3A479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7978DD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01EBE5B" w14:textId="77777777" w:rsidR="001C5A5B" w:rsidRDefault="001C5A5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DD08C8A" w14:textId="77777777" w:rsidR="001C5A5B" w:rsidRDefault="001C5A5B">
      <w:pPr>
        <w:spacing w:before="120" w:line="240" w:lineRule="auto"/>
        <w:rPr>
          <w:rFonts w:ascii="Calibri" w:eastAsia="Calibri" w:hAnsi="Calibri" w:cs="Calibri"/>
          <w:sz w:val="24"/>
          <w:szCs w:val="24"/>
        </w:rPr>
      </w:pPr>
    </w:p>
    <w:sectPr w:rsidR="001C5A5B" w:rsidSect="002442F9">
      <w:type w:val="continuous"/>
      <w:pgSz w:w="12240" w:h="15840"/>
      <w:pgMar w:top="1276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194D" w14:textId="77777777" w:rsidR="00132805" w:rsidRDefault="00132805">
      <w:pPr>
        <w:spacing w:line="240" w:lineRule="auto"/>
      </w:pPr>
      <w:r>
        <w:separator/>
      </w:r>
    </w:p>
  </w:endnote>
  <w:endnote w:type="continuationSeparator" w:id="0">
    <w:p w14:paraId="1B366AA6" w14:textId="77777777" w:rsidR="00132805" w:rsidRDefault="00132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44BB" w14:textId="77777777" w:rsidR="00E62744" w:rsidRPr="00E62744" w:rsidRDefault="00E62744" w:rsidP="00E62744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© TEA </w:t>
    </w:r>
    <w:r w:rsidR="00047F69">
      <w:rPr>
        <w:rFonts w:asciiTheme="majorHAnsi" w:eastAsia="Libre Franklin" w:hAnsiTheme="majorHAnsi" w:cstheme="majorHAnsi"/>
        <w:color w:val="1F6197"/>
        <w:sz w:val="20"/>
        <w:szCs w:val="20"/>
      </w:rPr>
      <w:t>4</w:t>
    </w:r>
    <w:r w:rsidRPr="0004661F">
      <w:rPr>
        <w:rFonts w:asciiTheme="majorHAnsi" w:hAnsiTheme="majorHAnsi" w:cstheme="majorHAnsi"/>
        <w:color w:val="1F6197"/>
        <w:sz w:val="20"/>
        <w:szCs w:val="20"/>
      </w:rPr>
      <w:t>/</w:t>
    </w:r>
    <w:r w:rsidR="00047F69">
      <w:rPr>
        <w:rFonts w:asciiTheme="majorHAnsi" w:hAnsiTheme="majorHAnsi" w:cstheme="majorHAnsi"/>
        <w:color w:val="1F6197"/>
        <w:sz w:val="20"/>
        <w:szCs w:val="20"/>
      </w:rPr>
      <w:t>20</w:t>
    </w:r>
    <w:r w:rsidRPr="0004661F">
      <w:rPr>
        <w:rFonts w:asciiTheme="majorHAnsi" w:hAnsiTheme="majorHAnsi" w:cstheme="majorHAnsi"/>
        <w:color w:val="1F6197"/>
        <w:sz w:val="20"/>
        <w:szCs w:val="20"/>
      </w:rPr>
      <w:t>/202</w:t>
    </w:r>
    <w:r w:rsidR="00047F69">
      <w:rPr>
        <w:rFonts w:asciiTheme="majorHAnsi" w:hAnsiTheme="majorHAnsi" w:cstheme="majorHAnsi"/>
        <w:color w:val="1F6197"/>
        <w:sz w:val="20"/>
        <w:szCs w:val="20"/>
      </w:rPr>
      <w:t>2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          </w:t>
    </w:r>
    <w:r w:rsidR="00047F6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Texas Equity Toolkit: Step 2 Resources</w:t>
    </w:r>
    <w:r w:rsidR="00047F6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PAGE</w:instrTex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047F69">
      <w:rPr>
        <w:rFonts w:asciiTheme="majorHAnsi" w:eastAsia="Libre Franklin" w:hAnsiTheme="majorHAnsi" w:cstheme="majorHAnsi"/>
        <w:noProof/>
        <w:color w:val="1F6197"/>
        <w:sz w:val="20"/>
        <w:szCs w:val="20"/>
      </w:rPr>
      <w:t>2</w: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 of </w: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NUMPAGES</w:instrTex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047F69">
      <w:rPr>
        <w:rFonts w:asciiTheme="majorHAnsi" w:eastAsia="Libre Franklin" w:hAnsiTheme="majorHAnsi" w:cstheme="majorHAnsi"/>
        <w:noProof/>
        <w:color w:val="1F6197"/>
        <w:sz w:val="20"/>
        <w:szCs w:val="20"/>
      </w:rPr>
      <w:t>2</w: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E58FE" w14:textId="77777777" w:rsidR="001C5A5B" w:rsidRPr="00E62744" w:rsidRDefault="00E62744" w:rsidP="00E62744">
    <w:pPr>
      <w:tabs>
        <w:tab w:val="center" w:pos="4680"/>
        <w:tab w:val="right" w:pos="9360"/>
      </w:tabs>
      <w:rPr>
        <w:rFonts w:asciiTheme="majorHAnsi" w:hAnsiTheme="majorHAnsi" w:cstheme="majorHAnsi"/>
        <w:color w:val="1F6197"/>
        <w:sz w:val="20"/>
        <w:szCs w:val="20"/>
      </w:rPr>
    </w:pP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© TEA </w:t>
    </w:r>
    <w:r w:rsidR="00047F69">
      <w:rPr>
        <w:rFonts w:asciiTheme="majorHAnsi" w:eastAsia="Libre Franklin" w:hAnsiTheme="majorHAnsi" w:cstheme="majorHAnsi"/>
        <w:color w:val="1F6197"/>
        <w:sz w:val="20"/>
        <w:szCs w:val="20"/>
      </w:rPr>
      <w:t>4</w:t>
    </w:r>
    <w:r w:rsidRPr="0004661F">
      <w:rPr>
        <w:rFonts w:asciiTheme="majorHAnsi" w:hAnsiTheme="majorHAnsi" w:cstheme="majorHAnsi"/>
        <w:color w:val="1F6197"/>
        <w:sz w:val="20"/>
        <w:szCs w:val="20"/>
      </w:rPr>
      <w:t>/</w:t>
    </w:r>
    <w:r w:rsidR="00047F69">
      <w:rPr>
        <w:rFonts w:asciiTheme="majorHAnsi" w:hAnsiTheme="majorHAnsi" w:cstheme="majorHAnsi"/>
        <w:color w:val="1F6197"/>
        <w:sz w:val="20"/>
        <w:szCs w:val="20"/>
      </w:rPr>
      <w:t>20</w:t>
    </w:r>
    <w:r w:rsidRPr="0004661F">
      <w:rPr>
        <w:rFonts w:asciiTheme="majorHAnsi" w:hAnsiTheme="majorHAnsi" w:cstheme="majorHAnsi"/>
        <w:color w:val="1F6197"/>
        <w:sz w:val="20"/>
        <w:szCs w:val="20"/>
      </w:rPr>
      <w:t>/202</w:t>
    </w:r>
    <w:r w:rsidR="00047F69">
      <w:rPr>
        <w:rFonts w:asciiTheme="majorHAnsi" w:hAnsiTheme="majorHAnsi" w:cstheme="majorHAnsi"/>
        <w:color w:val="1F6197"/>
        <w:sz w:val="20"/>
        <w:szCs w:val="20"/>
      </w:rPr>
      <w:t>2</w:t>
    </w:r>
    <w:r>
      <w:rPr>
        <w:rFonts w:asciiTheme="majorHAnsi" w:eastAsia="Libre Franklin" w:hAnsiTheme="majorHAnsi" w:cstheme="majorHAnsi"/>
        <w:color w:val="1F6197"/>
        <w:sz w:val="20"/>
        <w:szCs w:val="20"/>
      </w:rPr>
      <w:t xml:space="preserve">            </w:t>
    </w:r>
    <w:r w:rsidR="00047F6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>
      <w:rPr>
        <w:rFonts w:asciiTheme="majorHAnsi" w:eastAsia="Libre Franklin" w:hAnsiTheme="majorHAnsi" w:cstheme="majorHAnsi"/>
        <w:color w:val="1F6197"/>
        <w:sz w:val="20"/>
        <w:szCs w:val="20"/>
      </w:rPr>
      <w:t>Texas Equity Toolkit: Step 2 Resources</w:t>
    </w:r>
    <w:r w:rsidR="00047F69">
      <w:rPr>
        <w:rFonts w:asciiTheme="majorHAnsi" w:eastAsia="Libre Franklin" w:hAnsiTheme="majorHAnsi" w:cstheme="majorHAnsi"/>
        <w:color w:val="1F6197"/>
        <w:sz w:val="20"/>
        <w:szCs w:val="20"/>
      </w:rPr>
      <w:tab/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PAGE</w:instrTex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047F69">
      <w:rPr>
        <w:rFonts w:asciiTheme="majorHAnsi" w:eastAsia="Libre Franklin" w:hAnsiTheme="majorHAnsi" w:cstheme="majorHAnsi"/>
        <w:noProof/>
        <w:color w:val="1F6197"/>
        <w:sz w:val="20"/>
        <w:szCs w:val="20"/>
      </w:rPr>
      <w:t>1</w: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t xml:space="preserve"> of </w: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begin"/>
    </w:r>
    <w:r w:rsidRPr="0004661F">
      <w:rPr>
        <w:rFonts w:asciiTheme="majorHAnsi" w:eastAsia="Libre Franklin" w:hAnsiTheme="majorHAnsi" w:cstheme="majorHAnsi"/>
        <w:color w:val="1F6197"/>
        <w:sz w:val="20"/>
        <w:szCs w:val="20"/>
      </w:rPr>
      <w:instrText>NUMPAGES</w:instrTex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separate"/>
    </w:r>
    <w:r w:rsidR="00047F69">
      <w:rPr>
        <w:rFonts w:asciiTheme="majorHAnsi" w:eastAsia="Libre Franklin" w:hAnsiTheme="majorHAnsi" w:cstheme="majorHAnsi"/>
        <w:noProof/>
        <w:color w:val="1F6197"/>
        <w:sz w:val="20"/>
        <w:szCs w:val="20"/>
      </w:rPr>
      <w:t>2</w:t>
    </w:r>
    <w:r w:rsidR="00324C2E" w:rsidRPr="0004661F">
      <w:rPr>
        <w:rFonts w:asciiTheme="majorHAnsi" w:eastAsia="Libre Franklin" w:hAnsiTheme="majorHAnsi" w:cstheme="majorHAnsi"/>
        <w:color w:val="1F619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1662" w14:textId="77777777" w:rsidR="00132805" w:rsidRDefault="00132805">
      <w:pPr>
        <w:spacing w:line="240" w:lineRule="auto"/>
      </w:pPr>
      <w:r>
        <w:separator/>
      </w:r>
    </w:p>
  </w:footnote>
  <w:footnote w:type="continuationSeparator" w:id="0">
    <w:p w14:paraId="75AE4A5B" w14:textId="77777777" w:rsidR="00132805" w:rsidRDefault="001328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5B"/>
    <w:rsid w:val="00027E16"/>
    <w:rsid w:val="00047F69"/>
    <w:rsid w:val="000D698C"/>
    <w:rsid w:val="00132805"/>
    <w:rsid w:val="001430D0"/>
    <w:rsid w:val="001C5A5B"/>
    <w:rsid w:val="00200928"/>
    <w:rsid w:val="002442F9"/>
    <w:rsid w:val="002A1A15"/>
    <w:rsid w:val="002B1F48"/>
    <w:rsid w:val="002B3FF3"/>
    <w:rsid w:val="00324C2E"/>
    <w:rsid w:val="00347AB0"/>
    <w:rsid w:val="00393276"/>
    <w:rsid w:val="003B1543"/>
    <w:rsid w:val="004B4A65"/>
    <w:rsid w:val="004C4577"/>
    <w:rsid w:val="006E4B5F"/>
    <w:rsid w:val="008152D0"/>
    <w:rsid w:val="009E4057"/>
    <w:rsid w:val="00B5214C"/>
    <w:rsid w:val="00C2451B"/>
    <w:rsid w:val="00C810A5"/>
    <w:rsid w:val="00CE7BF5"/>
    <w:rsid w:val="00DF4191"/>
    <w:rsid w:val="00E03C5C"/>
    <w:rsid w:val="00E62744"/>
    <w:rsid w:val="00E81177"/>
    <w:rsid w:val="00F4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EAB92"/>
  <w15:docId w15:val="{B8FADB87-4525-4871-8239-41923C2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C2E"/>
  </w:style>
  <w:style w:type="paragraph" w:styleId="Heading1">
    <w:name w:val="heading 1"/>
    <w:basedOn w:val="Normal"/>
    <w:next w:val="Normal"/>
    <w:uiPriority w:val="9"/>
    <w:qFormat/>
    <w:rsid w:val="00E03C5C"/>
    <w:pPr>
      <w:spacing w:before="440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24C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24C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24C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24C2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24C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24C2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324C2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24C2E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table" w:customStyle="1" w:styleId="a0">
    <w:basedOn w:val="TableNormal"/>
    <w:rsid w:val="00324C2E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E5D6"/>
    </w:tcPr>
    <w:tblStylePr w:type="firstRow">
      <w:tblPr/>
      <w:tcPr>
        <w:tcBorders>
          <w:insideV w:val="single" w:sz="4" w:space="0" w:color="FFFFFF"/>
        </w:tcBorders>
        <w:shd w:val="clear" w:color="auto" w:fill="3A90D6"/>
      </w:tcPr>
    </w:tblStylePr>
    <w:tblStylePr w:type="band2Horz">
      <w:tblPr/>
      <w:tcPr>
        <w:shd w:val="clear" w:color="auto" w:fill="E6F1FA"/>
      </w:tcPr>
    </w:tblStylePr>
  </w:style>
  <w:style w:type="paragraph" w:styleId="Header">
    <w:name w:val="header"/>
    <w:basedOn w:val="Normal"/>
    <w:link w:val="HeaderChar"/>
    <w:uiPriority w:val="99"/>
    <w:unhideWhenUsed/>
    <w:rsid w:val="00E62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44"/>
  </w:style>
  <w:style w:type="paragraph" w:styleId="Footer">
    <w:name w:val="footer"/>
    <w:basedOn w:val="Normal"/>
    <w:link w:val="FooterChar"/>
    <w:uiPriority w:val="99"/>
    <w:unhideWhenUsed/>
    <w:rsid w:val="00E627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B48EE758D840B179DF7D1822A61A" ma:contentTypeVersion="13" ma:contentTypeDescription="Create a new document." ma:contentTypeScope="" ma:versionID="1cdbb55501013c48dcbb19c750ec4181">
  <xsd:schema xmlns:xsd="http://www.w3.org/2001/XMLSchema" xmlns:xs="http://www.w3.org/2001/XMLSchema" xmlns:p="http://schemas.microsoft.com/office/2006/metadata/properties" xmlns:ns3="30618d2e-60c7-46df-85ac-6f09e5b25b76" xmlns:ns4="8bb3e6f9-c742-4fc0-99e7-97940f6a4d63" targetNamespace="http://schemas.microsoft.com/office/2006/metadata/properties" ma:root="true" ma:fieldsID="efe3aad61cfcc255e59c4b6d406eef80" ns3:_="" ns4:_="">
    <xsd:import namespace="30618d2e-60c7-46df-85ac-6f09e5b25b76"/>
    <xsd:import namespace="8bb3e6f9-c742-4fc0-99e7-97940f6a4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8d2e-60c7-46df-85ac-6f09e5b25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3e6f9-c742-4fc0-99e7-97940f6a4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591AA-A2C9-48D1-856C-278FD259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78A91-03F5-4A61-B557-7B34F853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8d2e-60c7-46df-85ac-6f09e5b25b76"/>
    <ds:schemaRef ds:uri="8bb3e6f9-c742-4fc0-99e7-97940f6a4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73694-34F5-4E97-973B-26DEF8E77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1011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2: Resource Documents</vt:lpstr>
    </vt:vector>
  </TitlesOfParts>
  <Company>Grizli777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2: Resource Documents</dc:title>
  <dc:creator>Salaz, Heather</dc:creator>
  <cp:lastModifiedBy>Perkins, Carrie</cp:lastModifiedBy>
  <cp:revision>2</cp:revision>
  <dcterms:created xsi:type="dcterms:W3CDTF">2025-01-06T15:54:00Z</dcterms:created>
  <dcterms:modified xsi:type="dcterms:W3CDTF">2025-01-06T15:54:00Z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0x01010073E9B48EE758D840B179DF7D1822A61A</vt:lpwstr>
  </property>
</Properties>
</file>