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1953" w14:textId="2C7EBAB6" w:rsidR="00B11F0B" w:rsidRPr="0074430F" w:rsidRDefault="00A93787" w:rsidP="00331626">
      <w:pPr>
        <w:pStyle w:val="BodyText"/>
        <w:spacing w:before="79"/>
        <w:ind w:right="-10"/>
        <w:jc w:val="center"/>
        <w:rPr>
          <w:rFonts w:ascii="Verdana" w:hAnsi="Verdana"/>
          <w:sz w:val="22"/>
          <w:szCs w:val="22"/>
        </w:rPr>
      </w:pPr>
      <w:bookmarkStart w:id="0" w:name="_GoBack"/>
      <w:bookmarkEnd w:id="0"/>
      <w:r w:rsidRPr="0074430F">
        <w:rPr>
          <w:rFonts w:ascii="Verdana" w:hAnsi="Verdana"/>
          <w:color w:val="0D0D0D"/>
          <w:sz w:val="22"/>
          <w:szCs w:val="22"/>
        </w:rPr>
        <w:t>Texas Education Agency</w:t>
      </w:r>
    </w:p>
    <w:p w14:paraId="153A81FC" w14:textId="762F1736" w:rsidR="00B11F0B" w:rsidRPr="00331626" w:rsidRDefault="00A93787" w:rsidP="00331626">
      <w:pPr>
        <w:pStyle w:val="BodyText"/>
        <w:spacing w:before="171"/>
        <w:ind w:right="-10"/>
        <w:jc w:val="center"/>
        <w:rPr>
          <w:rFonts w:ascii="Verdana" w:hAnsi="Verdana"/>
          <w:color w:val="0D0D0D"/>
          <w:sz w:val="22"/>
          <w:szCs w:val="22"/>
        </w:rPr>
      </w:pPr>
      <w:r w:rsidRPr="00331626">
        <w:rPr>
          <w:rFonts w:ascii="Verdana" w:hAnsi="Verdana"/>
          <w:color w:val="0D0D0D"/>
          <w:sz w:val="22"/>
          <w:szCs w:val="22"/>
        </w:rPr>
        <w:t>Department</w:t>
      </w:r>
      <w:r w:rsidRPr="0074430F">
        <w:rPr>
          <w:rFonts w:ascii="Verdana" w:hAnsi="Verdana"/>
          <w:color w:val="0D0D0D"/>
          <w:sz w:val="22"/>
          <w:szCs w:val="22"/>
        </w:rPr>
        <w:t xml:space="preserve"> of Sp</w:t>
      </w:r>
      <w:r w:rsidR="0074430F" w:rsidRPr="0074430F">
        <w:rPr>
          <w:rFonts w:ascii="Verdana" w:hAnsi="Verdana"/>
          <w:color w:val="0D0D0D"/>
          <w:sz w:val="22"/>
          <w:szCs w:val="22"/>
        </w:rPr>
        <w:t xml:space="preserve">ecial </w:t>
      </w:r>
      <w:r w:rsidR="0074430F">
        <w:rPr>
          <w:rFonts w:ascii="Verdana" w:hAnsi="Verdana"/>
          <w:color w:val="0D0D0D"/>
          <w:sz w:val="22"/>
          <w:szCs w:val="22"/>
        </w:rPr>
        <w:t>P</w:t>
      </w:r>
      <w:r w:rsidR="0074430F" w:rsidRPr="0074430F">
        <w:rPr>
          <w:rFonts w:ascii="Verdana" w:hAnsi="Verdana"/>
          <w:color w:val="0D0D0D"/>
          <w:sz w:val="22"/>
          <w:szCs w:val="22"/>
        </w:rPr>
        <w:t>op</w:t>
      </w:r>
      <w:r w:rsidRPr="0074430F">
        <w:rPr>
          <w:rFonts w:ascii="Verdana" w:hAnsi="Verdana"/>
          <w:color w:val="0D0D0D"/>
          <w:sz w:val="22"/>
          <w:szCs w:val="22"/>
        </w:rPr>
        <w:t>ulations</w:t>
      </w:r>
    </w:p>
    <w:p w14:paraId="15C69A72" w14:textId="77777777" w:rsidR="00331626" w:rsidRPr="00331626" w:rsidRDefault="00A93787" w:rsidP="00331626">
      <w:pPr>
        <w:pStyle w:val="BodyText"/>
        <w:spacing w:before="171"/>
        <w:ind w:right="-10"/>
        <w:jc w:val="center"/>
        <w:rPr>
          <w:rFonts w:ascii="Verdana" w:hAnsi="Verdana"/>
          <w:color w:val="0D0D0D"/>
          <w:sz w:val="22"/>
          <w:szCs w:val="22"/>
        </w:rPr>
      </w:pPr>
      <w:r w:rsidRPr="00331626">
        <w:rPr>
          <w:rFonts w:ascii="Verdana" w:hAnsi="Verdana"/>
          <w:color w:val="0D0D0D"/>
          <w:sz w:val="22"/>
          <w:szCs w:val="22"/>
        </w:rPr>
        <w:t>Division of Special Education</w:t>
      </w:r>
    </w:p>
    <w:p w14:paraId="00996B8E" w14:textId="38BA15A9" w:rsidR="00B11F0B" w:rsidRPr="00331626" w:rsidRDefault="00A93787" w:rsidP="003B0CC3">
      <w:pPr>
        <w:pStyle w:val="Heading1"/>
        <w:jc w:val="center"/>
      </w:pPr>
      <w:r w:rsidRPr="00331626">
        <w:rPr>
          <w:spacing w:val="-15"/>
        </w:rPr>
        <w:t xml:space="preserve"> </w:t>
      </w:r>
      <w:r w:rsidRPr="00331626">
        <w:rPr>
          <w:w w:val="94"/>
        </w:rPr>
        <w:t>2018</w:t>
      </w:r>
      <w:r w:rsidRPr="00331626">
        <w:rPr>
          <w:spacing w:val="2"/>
          <w:w w:val="94"/>
        </w:rPr>
        <w:t>-</w:t>
      </w:r>
      <w:r w:rsidR="0074430F" w:rsidRPr="00331626">
        <w:rPr>
          <w:spacing w:val="2"/>
          <w:w w:val="94"/>
        </w:rPr>
        <w:t>201</w:t>
      </w:r>
      <w:r w:rsidR="00331626">
        <w:rPr>
          <w:spacing w:val="2"/>
          <w:w w:val="94"/>
        </w:rPr>
        <w:t>9</w:t>
      </w:r>
      <w:r w:rsidR="0074430F" w:rsidRPr="00331626">
        <w:rPr>
          <w:spacing w:val="2"/>
          <w:w w:val="94"/>
        </w:rPr>
        <w:t xml:space="preserve"> St</w:t>
      </w:r>
      <w:r w:rsidRPr="00331626">
        <w:rPr>
          <w:spacing w:val="-1"/>
          <w:w w:val="95"/>
        </w:rPr>
        <w:t>akeholde</w:t>
      </w:r>
      <w:r w:rsidRPr="00331626">
        <w:rPr>
          <w:w w:val="95"/>
        </w:rPr>
        <w:t>r</w:t>
      </w:r>
      <w:r w:rsidRPr="00331626">
        <w:rPr>
          <w:spacing w:val="-4"/>
        </w:rPr>
        <w:t xml:space="preserve"> </w:t>
      </w:r>
      <w:r w:rsidRPr="00331626">
        <w:rPr>
          <w:w w:val="95"/>
        </w:rPr>
        <w:t>Engagement</w:t>
      </w:r>
      <w:r w:rsidRPr="00331626">
        <w:rPr>
          <w:spacing w:val="-2"/>
        </w:rPr>
        <w:t xml:space="preserve"> </w:t>
      </w:r>
      <w:r w:rsidRPr="00331626">
        <w:rPr>
          <w:spacing w:val="-1"/>
          <w:w w:val="94"/>
        </w:rPr>
        <w:t>Plan</w:t>
      </w:r>
    </w:p>
    <w:p w14:paraId="18BFD33F" w14:textId="77777777" w:rsidR="00B11F0B" w:rsidRPr="0074430F" w:rsidRDefault="00B11F0B" w:rsidP="0074430F">
      <w:pPr>
        <w:pStyle w:val="BodyText"/>
        <w:spacing w:before="5"/>
        <w:jc w:val="center"/>
        <w:rPr>
          <w:rFonts w:ascii="Verdana" w:hAnsi="Verdana"/>
          <w:sz w:val="22"/>
          <w:szCs w:val="22"/>
        </w:rPr>
      </w:pPr>
    </w:p>
    <w:p w14:paraId="5B2FD1E1" w14:textId="4A9F34C6" w:rsidR="00331626" w:rsidRPr="00E36351" w:rsidRDefault="00331626" w:rsidP="00E36351">
      <w:pPr>
        <w:pStyle w:val="BodyText"/>
        <w:ind w:left="123" w:right="197" w:hanging="6"/>
        <w:rPr>
          <w:rFonts w:ascii="Verdana" w:hAnsi="Verdana"/>
          <w:sz w:val="20"/>
          <w:szCs w:val="20"/>
        </w:rPr>
      </w:pPr>
      <w:r w:rsidRPr="00E36351">
        <w:rPr>
          <w:rFonts w:ascii="Verdana" w:hAnsi="Verdana"/>
          <w:sz w:val="20"/>
          <w:szCs w:val="20"/>
        </w:rPr>
        <w:t>TEA seeks to develop an effective, state-level stakeholder engagement system that will lead to positive outcomes for students with disabilities.  To successfully develop and implement support and services for those students, it is critical to have the active engagement of all stakeholders – students, families, educators, and communities. To broaden the reach of those who would like to be involved, both in-person and virtual opportunities to participate will be offered.</w:t>
      </w:r>
    </w:p>
    <w:p w14:paraId="0DBFBC0A" w14:textId="25DDDE53" w:rsidR="00331626" w:rsidRPr="00E36351" w:rsidRDefault="00331626" w:rsidP="00E36351">
      <w:pPr>
        <w:pStyle w:val="BodyText"/>
        <w:ind w:left="123" w:right="197" w:hanging="6"/>
        <w:rPr>
          <w:rFonts w:ascii="Verdana" w:hAnsi="Verdana"/>
          <w:sz w:val="20"/>
          <w:szCs w:val="20"/>
        </w:rPr>
      </w:pPr>
    </w:p>
    <w:p w14:paraId="4BA6E008" w14:textId="646E7023" w:rsidR="00331626" w:rsidRPr="00E36351" w:rsidRDefault="00331626" w:rsidP="00E36351">
      <w:pPr>
        <w:pStyle w:val="BodyText"/>
        <w:ind w:left="123" w:right="197" w:hanging="6"/>
        <w:rPr>
          <w:rFonts w:ascii="Verdana" w:hAnsi="Verdana"/>
          <w:sz w:val="20"/>
          <w:szCs w:val="20"/>
        </w:rPr>
      </w:pPr>
      <w:r w:rsidRPr="00E36351">
        <w:rPr>
          <w:rFonts w:ascii="Verdana" w:hAnsi="Verdana"/>
          <w:sz w:val="20"/>
          <w:szCs w:val="20"/>
        </w:rPr>
        <w:t xml:space="preserve">The 2018-2019 Stakeholder Engagement Plan </w:t>
      </w:r>
      <w:r w:rsidR="00E36351" w:rsidRPr="00E36351">
        <w:rPr>
          <w:rFonts w:ascii="Verdana" w:hAnsi="Verdana"/>
          <w:sz w:val="20"/>
          <w:szCs w:val="20"/>
        </w:rPr>
        <w:t>took shape from the suggestions provided to TEA staff throughout the spring of 2018 when the Department of Special Populations staff participated in multiple meetings with a wide range of stakeholders such as students, parents, teachers, service providers, and administrators.</w:t>
      </w:r>
    </w:p>
    <w:p w14:paraId="7BD0CD45" w14:textId="145FD91D" w:rsidR="00E36351" w:rsidRPr="00E36351" w:rsidRDefault="00E36351" w:rsidP="00E36351">
      <w:pPr>
        <w:pStyle w:val="BodyText"/>
        <w:ind w:left="123" w:right="197" w:hanging="6"/>
        <w:rPr>
          <w:rFonts w:ascii="Verdana" w:hAnsi="Verdana"/>
          <w:sz w:val="20"/>
          <w:szCs w:val="20"/>
        </w:rPr>
      </w:pPr>
    </w:p>
    <w:p w14:paraId="13BDB570" w14:textId="208CAF7F" w:rsidR="00B11F0B" w:rsidRPr="00E36351" w:rsidRDefault="00A93787" w:rsidP="00493F7C">
      <w:pPr>
        <w:pStyle w:val="Heading2"/>
      </w:pPr>
      <w:r w:rsidRPr="00453585">
        <w:t>Stakeholder</w:t>
      </w:r>
      <w:r w:rsidR="00077199" w:rsidRPr="00453585">
        <w:t>s</w:t>
      </w:r>
    </w:p>
    <w:p w14:paraId="6FE65463" w14:textId="35C72EA8" w:rsidR="00B11F0B" w:rsidRPr="00E36351" w:rsidRDefault="00A93787" w:rsidP="0074430F">
      <w:pPr>
        <w:pStyle w:val="BodyText"/>
        <w:spacing w:before="112" w:line="230" w:lineRule="auto"/>
        <w:ind w:left="123" w:right="197" w:hanging="6"/>
        <w:rPr>
          <w:rFonts w:ascii="Verdana" w:hAnsi="Verdana"/>
          <w:color w:val="0D0D0D"/>
          <w:sz w:val="20"/>
          <w:szCs w:val="20"/>
        </w:rPr>
      </w:pPr>
      <w:r w:rsidRPr="00E36351">
        <w:rPr>
          <w:rFonts w:ascii="Verdana" w:hAnsi="Verdana"/>
          <w:color w:val="0E0E0E"/>
          <w:sz w:val="20"/>
          <w:szCs w:val="20"/>
        </w:rPr>
        <w:t>For the purposes of th</w:t>
      </w:r>
      <w:r w:rsidRPr="00E36351">
        <w:rPr>
          <w:rFonts w:ascii="Verdana" w:hAnsi="Verdana"/>
          <w:color w:val="565656"/>
          <w:sz w:val="20"/>
          <w:szCs w:val="20"/>
        </w:rPr>
        <w:t>i</w:t>
      </w:r>
      <w:r w:rsidRPr="00E36351">
        <w:rPr>
          <w:rFonts w:ascii="Verdana" w:hAnsi="Verdana"/>
          <w:color w:val="0E0E0E"/>
          <w:sz w:val="20"/>
          <w:szCs w:val="20"/>
        </w:rPr>
        <w:t>s p</w:t>
      </w:r>
      <w:r w:rsidRPr="00E36351">
        <w:rPr>
          <w:rFonts w:ascii="Verdana" w:hAnsi="Verdana"/>
          <w:color w:val="565656"/>
          <w:sz w:val="20"/>
          <w:szCs w:val="20"/>
        </w:rPr>
        <w:t>l</w:t>
      </w:r>
      <w:r w:rsidRPr="00E36351">
        <w:rPr>
          <w:rFonts w:ascii="Verdana" w:hAnsi="Verdana"/>
          <w:color w:val="0E0E0E"/>
          <w:sz w:val="20"/>
          <w:szCs w:val="20"/>
        </w:rPr>
        <w:t>an</w:t>
      </w:r>
      <w:r w:rsidRPr="00E36351">
        <w:rPr>
          <w:rFonts w:ascii="Verdana" w:hAnsi="Verdana"/>
          <w:color w:val="464646"/>
          <w:sz w:val="20"/>
          <w:szCs w:val="20"/>
        </w:rPr>
        <w:t xml:space="preserve">, </w:t>
      </w:r>
      <w:r w:rsidRPr="00E36351">
        <w:rPr>
          <w:rFonts w:ascii="Verdana" w:hAnsi="Verdana"/>
          <w:color w:val="0E0E0E"/>
          <w:sz w:val="20"/>
          <w:szCs w:val="20"/>
        </w:rPr>
        <w:t xml:space="preserve">TEA has </w:t>
      </w:r>
      <w:r w:rsidRPr="00E36351">
        <w:rPr>
          <w:rFonts w:ascii="Verdana" w:hAnsi="Verdana"/>
          <w:color w:val="0D0D0D"/>
          <w:sz w:val="20"/>
          <w:szCs w:val="20"/>
        </w:rPr>
        <w:t>identified the following categories of stakeholders</w:t>
      </w:r>
      <w:r w:rsidR="0058659F">
        <w:rPr>
          <w:rFonts w:ascii="Verdana" w:hAnsi="Verdana"/>
          <w:color w:val="0D0D0D"/>
          <w:sz w:val="20"/>
          <w:szCs w:val="20"/>
        </w:rPr>
        <w:t xml:space="preserve"> who </w:t>
      </w:r>
      <w:r w:rsidR="006D2F8F">
        <w:rPr>
          <w:rFonts w:ascii="Verdana" w:hAnsi="Verdana"/>
          <w:color w:val="0D0D0D"/>
          <w:sz w:val="20"/>
          <w:szCs w:val="20"/>
        </w:rPr>
        <w:t xml:space="preserve">each a unique perspective but common goal – to </w:t>
      </w:r>
      <w:r w:rsidR="003A1825">
        <w:rPr>
          <w:rFonts w:ascii="Verdana" w:hAnsi="Verdana"/>
          <w:color w:val="0D0D0D"/>
          <w:sz w:val="20"/>
          <w:szCs w:val="20"/>
        </w:rPr>
        <w:t xml:space="preserve">improve outcomes for </w:t>
      </w:r>
      <w:r w:rsidR="006D2F8F">
        <w:rPr>
          <w:rFonts w:ascii="Verdana" w:hAnsi="Verdana"/>
          <w:color w:val="0D0D0D"/>
          <w:sz w:val="20"/>
          <w:szCs w:val="20"/>
        </w:rPr>
        <w:t>students with disabilities</w:t>
      </w:r>
      <w:r w:rsidRPr="00E36351">
        <w:rPr>
          <w:rFonts w:ascii="Verdana" w:hAnsi="Verdana"/>
          <w:color w:val="0D0D0D"/>
          <w:sz w:val="20"/>
          <w:szCs w:val="20"/>
        </w:rPr>
        <w:t>:</w:t>
      </w:r>
    </w:p>
    <w:p w14:paraId="6F1496C3" w14:textId="03E8AFC7" w:rsidR="00E36351" w:rsidRPr="00E36351" w:rsidRDefault="00E36351" w:rsidP="0074430F">
      <w:pPr>
        <w:pStyle w:val="BodyText"/>
        <w:spacing w:before="112" w:line="230" w:lineRule="auto"/>
        <w:ind w:left="123" w:right="197" w:hanging="6"/>
        <w:rPr>
          <w:rFonts w:ascii="Verdana" w:hAnsi="Verdana"/>
          <w:color w:val="0D0D0D"/>
          <w:sz w:val="20"/>
          <w:szCs w:val="20"/>
        </w:rPr>
      </w:pPr>
    </w:p>
    <w:tbl>
      <w:tblPr>
        <w:tblStyle w:val="TableGrid"/>
        <w:tblW w:w="9900" w:type="dxa"/>
        <w:tblInd w:w="198" w:type="dxa"/>
        <w:tblLook w:val="04A0" w:firstRow="1" w:lastRow="0" w:firstColumn="1" w:lastColumn="0" w:noHBand="0" w:noVBand="1"/>
        <w:tblCaption w:val="Stakeholder categories"/>
        <w:tblDescription w:val="This table consists of 2 columns that lists and describes each special education stakeholder category."/>
      </w:tblPr>
      <w:tblGrid>
        <w:gridCol w:w="3330"/>
        <w:gridCol w:w="6570"/>
      </w:tblGrid>
      <w:tr w:rsidR="00E36351" w:rsidRPr="00E36351" w14:paraId="48750478" w14:textId="77777777" w:rsidTr="00493F7C">
        <w:trPr>
          <w:trHeight w:val="422"/>
        </w:trPr>
        <w:tc>
          <w:tcPr>
            <w:tcW w:w="3330" w:type="dxa"/>
          </w:tcPr>
          <w:p w14:paraId="14EBEFE0" w14:textId="2EBE427C" w:rsidR="00E36351" w:rsidRPr="00E36351" w:rsidRDefault="00E36351" w:rsidP="00E36351">
            <w:pPr>
              <w:pStyle w:val="BodyText"/>
              <w:spacing w:before="112" w:line="230" w:lineRule="auto"/>
              <w:ind w:right="197"/>
              <w:jc w:val="center"/>
              <w:rPr>
                <w:rFonts w:ascii="Verdana" w:hAnsi="Verdana"/>
                <w:b/>
                <w:color w:val="0D0D0D"/>
                <w:sz w:val="20"/>
                <w:szCs w:val="20"/>
              </w:rPr>
            </w:pPr>
            <w:r w:rsidRPr="00E36351">
              <w:rPr>
                <w:rFonts w:ascii="Verdana" w:hAnsi="Verdana"/>
                <w:b/>
                <w:color w:val="0D0D0D"/>
                <w:sz w:val="20"/>
                <w:szCs w:val="20"/>
              </w:rPr>
              <w:t>Category</w:t>
            </w:r>
          </w:p>
        </w:tc>
        <w:tc>
          <w:tcPr>
            <w:tcW w:w="6570" w:type="dxa"/>
          </w:tcPr>
          <w:p w14:paraId="3A5E2317" w14:textId="6A9DBE35" w:rsidR="00E36351" w:rsidRPr="00E36351" w:rsidRDefault="00E36351" w:rsidP="00E36351">
            <w:pPr>
              <w:pStyle w:val="BodyText"/>
              <w:spacing w:before="112" w:line="230" w:lineRule="auto"/>
              <w:ind w:right="197"/>
              <w:jc w:val="center"/>
              <w:rPr>
                <w:rFonts w:ascii="Verdana" w:hAnsi="Verdana"/>
                <w:b/>
                <w:color w:val="0D0D0D"/>
                <w:sz w:val="20"/>
                <w:szCs w:val="20"/>
              </w:rPr>
            </w:pPr>
            <w:r w:rsidRPr="00E36351">
              <w:rPr>
                <w:rFonts w:ascii="Verdana" w:hAnsi="Verdana"/>
                <w:b/>
                <w:color w:val="0D0D0D"/>
                <w:sz w:val="20"/>
                <w:szCs w:val="20"/>
              </w:rPr>
              <w:t>Description</w:t>
            </w:r>
          </w:p>
        </w:tc>
      </w:tr>
      <w:tr w:rsidR="00E36351" w:rsidRPr="00E36351" w14:paraId="5D3CAF06" w14:textId="77777777" w:rsidTr="00493F7C">
        <w:tc>
          <w:tcPr>
            <w:tcW w:w="3330" w:type="dxa"/>
          </w:tcPr>
          <w:p w14:paraId="4C3944A3" w14:textId="33BCE141" w:rsidR="00E36351" w:rsidRPr="00493F7C" w:rsidRDefault="00E36351"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Students</w:t>
            </w:r>
          </w:p>
        </w:tc>
        <w:tc>
          <w:tcPr>
            <w:tcW w:w="6570" w:type="dxa"/>
          </w:tcPr>
          <w:p w14:paraId="4C0B0146" w14:textId="11C30CC9" w:rsidR="00E36351" w:rsidRPr="00493F7C" w:rsidRDefault="003A1825" w:rsidP="00493F7C">
            <w:pPr>
              <w:pStyle w:val="BodyText"/>
              <w:ind w:left="-14" w:right="-104" w:hanging="7"/>
              <w:rPr>
                <w:rFonts w:ascii="Verdana" w:hAnsi="Verdana"/>
                <w:color w:val="262626"/>
                <w:spacing w:val="-2"/>
                <w:w w:val="110"/>
                <w:sz w:val="20"/>
                <w:szCs w:val="20"/>
              </w:rPr>
            </w:pPr>
            <w:r>
              <w:rPr>
                <w:rFonts w:ascii="Verdana" w:hAnsi="Verdana"/>
                <w:color w:val="262626"/>
                <w:spacing w:val="-2"/>
                <w:w w:val="110"/>
                <w:sz w:val="20"/>
                <w:szCs w:val="20"/>
              </w:rPr>
              <w:t>S</w:t>
            </w:r>
            <w:r w:rsidR="00E36351" w:rsidRPr="00493F7C">
              <w:rPr>
                <w:rFonts w:ascii="Verdana" w:hAnsi="Verdana"/>
                <w:color w:val="262626"/>
                <w:spacing w:val="-2"/>
                <w:w w:val="110"/>
                <w:sz w:val="20"/>
                <w:szCs w:val="20"/>
              </w:rPr>
              <w:t xml:space="preserve">tudents with disabilities </w:t>
            </w:r>
          </w:p>
        </w:tc>
      </w:tr>
      <w:tr w:rsidR="00E36351" w:rsidRPr="00E36351" w14:paraId="1DEAE4B1" w14:textId="77777777" w:rsidTr="00493F7C">
        <w:tc>
          <w:tcPr>
            <w:tcW w:w="3330" w:type="dxa"/>
          </w:tcPr>
          <w:p w14:paraId="4468EAB3" w14:textId="05178A76" w:rsidR="00E36351" w:rsidRPr="00493F7C" w:rsidRDefault="00E36351"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Parents and Families</w:t>
            </w:r>
          </w:p>
        </w:tc>
        <w:tc>
          <w:tcPr>
            <w:tcW w:w="6570" w:type="dxa"/>
          </w:tcPr>
          <w:p w14:paraId="0800B34A" w14:textId="1D72D860" w:rsidR="006D2F8F" w:rsidRPr="00493F7C" w:rsidRDefault="00E36351"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Those</w:t>
            </w:r>
            <w:r w:rsidR="006D2F8F" w:rsidRPr="00493F7C">
              <w:rPr>
                <w:rFonts w:ascii="Verdana" w:hAnsi="Verdana"/>
                <w:color w:val="262626"/>
                <w:spacing w:val="-2"/>
                <w:w w:val="110"/>
                <w:sz w:val="20"/>
                <w:szCs w:val="20"/>
              </w:rPr>
              <w:t xml:space="preserve"> who are close</w:t>
            </w:r>
            <w:r w:rsidR="003A1825">
              <w:rPr>
                <w:rFonts w:ascii="Verdana" w:hAnsi="Verdana"/>
                <w:color w:val="262626"/>
                <w:spacing w:val="-2"/>
                <w:w w:val="110"/>
                <w:sz w:val="20"/>
                <w:szCs w:val="20"/>
              </w:rPr>
              <w:t>st</w:t>
            </w:r>
            <w:r w:rsidR="006D2F8F" w:rsidRPr="00493F7C">
              <w:rPr>
                <w:rFonts w:ascii="Verdana" w:hAnsi="Verdana"/>
                <w:color w:val="262626"/>
                <w:spacing w:val="-2"/>
                <w:w w:val="110"/>
                <w:sz w:val="20"/>
                <w:szCs w:val="20"/>
              </w:rPr>
              <w:t xml:space="preserve"> </w:t>
            </w:r>
            <w:r w:rsidRPr="00493F7C">
              <w:rPr>
                <w:rFonts w:ascii="Verdana" w:hAnsi="Verdana"/>
                <w:color w:val="262626"/>
                <w:spacing w:val="-2"/>
                <w:w w:val="110"/>
                <w:sz w:val="20"/>
                <w:szCs w:val="20"/>
              </w:rPr>
              <w:t xml:space="preserve">to the </w:t>
            </w:r>
            <w:r w:rsidR="003A1825">
              <w:rPr>
                <w:rFonts w:ascii="Verdana" w:hAnsi="Verdana"/>
                <w:color w:val="262626"/>
                <w:spacing w:val="-2"/>
                <w:w w:val="110"/>
                <w:sz w:val="20"/>
                <w:szCs w:val="20"/>
              </w:rPr>
              <w:t>students and can speak to their needs and aspirations</w:t>
            </w:r>
          </w:p>
        </w:tc>
      </w:tr>
      <w:tr w:rsidR="00E36351" w:rsidRPr="00E36351" w14:paraId="04E13C2B" w14:textId="77777777" w:rsidTr="00493F7C">
        <w:trPr>
          <w:trHeight w:val="773"/>
        </w:trPr>
        <w:tc>
          <w:tcPr>
            <w:tcW w:w="3330" w:type="dxa"/>
          </w:tcPr>
          <w:p w14:paraId="25A88837" w14:textId="61BB113D" w:rsidR="00E36351" w:rsidRPr="00493F7C" w:rsidRDefault="00E36351"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Teachers and Practitioners</w:t>
            </w:r>
          </w:p>
        </w:tc>
        <w:tc>
          <w:tcPr>
            <w:tcW w:w="6570" w:type="dxa"/>
          </w:tcPr>
          <w:p w14:paraId="4D7E6478" w14:textId="4BF59124" w:rsidR="00E36351" w:rsidRPr="00493F7C" w:rsidRDefault="00E36351"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 xml:space="preserve">Teachers, service providers, and </w:t>
            </w:r>
            <w:r w:rsidR="002E087E">
              <w:rPr>
                <w:rFonts w:ascii="Verdana" w:hAnsi="Verdana"/>
                <w:color w:val="262626"/>
                <w:spacing w:val="-2"/>
                <w:w w:val="110"/>
                <w:sz w:val="20"/>
                <w:szCs w:val="20"/>
              </w:rPr>
              <w:t>other</w:t>
            </w:r>
            <w:r w:rsidRPr="00493F7C">
              <w:rPr>
                <w:rFonts w:ascii="Verdana" w:hAnsi="Verdana"/>
                <w:color w:val="262626"/>
                <w:spacing w:val="-2"/>
                <w:w w:val="110"/>
                <w:sz w:val="20"/>
                <w:szCs w:val="20"/>
              </w:rPr>
              <w:t xml:space="preserve"> staff </w:t>
            </w:r>
            <w:r w:rsidR="002E087E">
              <w:rPr>
                <w:rFonts w:ascii="Verdana" w:hAnsi="Verdana"/>
                <w:color w:val="262626"/>
                <w:spacing w:val="-2"/>
                <w:w w:val="110"/>
                <w:sz w:val="20"/>
                <w:szCs w:val="20"/>
              </w:rPr>
              <w:t>whose work</w:t>
            </w:r>
            <w:r w:rsidRPr="00493F7C">
              <w:rPr>
                <w:rFonts w:ascii="Verdana" w:hAnsi="Verdana"/>
                <w:color w:val="262626"/>
                <w:spacing w:val="-2"/>
                <w:w w:val="110"/>
                <w:sz w:val="20"/>
                <w:szCs w:val="20"/>
              </w:rPr>
              <w:t xml:space="preserve"> position</w:t>
            </w:r>
            <w:r w:rsidR="002E087E">
              <w:rPr>
                <w:rFonts w:ascii="Verdana" w:hAnsi="Verdana"/>
                <w:color w:val="262626"/>
                <w:spacing w:val="-2"/>
                <w:w w:val="110"/>
                <w:sz w:val="20"/>
                <w:szCs w:val="20"/>
              </w:rPr>
              <w:t xml:space="preserve"> them</w:t>
            </w:r>
            <w:r w:rsidRPr="00493F7C">
              <w:rPr>
                <w:rFonts w:ascii="Verdana" w:hAnsi="Verdana"/>
                <w:color w:val="262626"/>
                <w:spacing w:val="-2"/>
                <w:w w:val="110"/>
                <w:sz w:val="20"/>
                <w:szCs w:val="20"/>
              </w:rPr>
              <w:t xml:space="preserve"> to identify and evaluate </w:t>
            </w:r>
            <w:r w:rsidR="002E087E">
              <w:rPr>
                <w:rFonts w:ascii="Verdana" w:hAnsi="Verdana"/>
                <w:color w:val="262626"/>
                <w:spacing w:val="-2"/>
                <w:w w:val="110"/>
                <w:sz w:val="20"/>
                <w:szCs w:val="20"/>
              </w:rPr>
              <w:t>students with disabilities, their needs, and outcomes of services provided</w:t>
            </w:r>
          </w:p>
        </w:tc>
      </w:tr>
      <w:tr w:rsidR="00E36351" w:rsidRPr="00E36351" w14:paraId="69F51575" w14:textId="77777777" w:rsidTr="00493F7C">
        <w:trPr>
          <w:trHeight w:val="782"/>
        </w:trPr>
        <w:tc>
          <w:tcPr>
            <w:tcW w:w="3330" w:type="dxa"/>
          </w:tcPr>
          <w:p w14:paraId="4FCDF8AA" w14:textId="4EF5109E" w:rsidR="006D2F8F" w:rsidRPr="00493F7C" w:rsidRDefault="006D2F8F"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Local Education Agency (LEA) and Educational Service Center (ESC) Leadership</w:t>
            </w:r>
          </w:p>
        </w:tc>
        <w:tc>
          <w:tcPr>
            <w:tcW w:w="6570" w:type="dxa"/>
          </w:tcPr>
          <w:p w14:paraId="2BC970B2" w14:textId="7B5A36CB" w:rsidR="00E36351" w:rsidRPr="00493F7C" w:rsidRDefault="002E087E" w:rsidP="00493F7C">
            <w:pPr>
              <w:pStyle w:val="BodyText"/>
              <w:ind w:left="-14" w:right="-104" w:hanging="7"/>
              <w:rPr>
                <w:rFonts w:ascii="Verdana" w:hAnsi="Verdana"/>
                <w:color w:val="262626"/>
                <w:spacing w:val="-2"/>
                <w:w w:val="110"/>
                <w:sz w:val="20"/>
                <w:szCs w:val="20"/>
              </w:rPr>
            </w:pPr>
            <w:r>
              <w:rPr>
                <w:rFonts w:ascii="Verdana" w:hAnsi="Verdana"/>
                <w:color w:val="262626"/>
                <w:spacing w:val="-2"/>
                <w:w w:val="110"/>
                <w:sz w:val="20"/>
                <w:szCs w:val="20"/>
              </w:rPr>
              <w:t>A</w:t>
            </w:r>
            <w:r w:rsidR="006D2F8F" w:rsidRPr="00493F7C">
              <w:rPr>
                <w:rFonts w:ascii="Verdana" w:hAnsi="Verdana"/>
                <w:color w:val="262626"/>
                <w:spacing w:val="-2"/>
                <w:w w:val="110"/>
                <w:sz w:val="20"/>
                <w:szCs w:val="20"/>
              </w:rPr>
              <w:t>dministrators</w:t>
            </w:r>
            <w:r>
              <w:rPr>
                <w:rFonts w:ascii="Verdana" w:hAnsi="Verdana"/>
                <w:color w:val="262626"/>
                <w:spacing w:val="-2"/>
                <w:w w:val="110"/>
                <w:sz w:val="20"/>
                <w:szCs w:val="20"/>
              </w:rPr>
              <w:t xml:space="preserve"> (campus and</w:t>
            </w:r>
            <w:r w:rsidR="006D2F8F" w:rsidRPr="00493F7C">
              <w:rPr>
                <w:rFonts w:ascii="Verdana" w:hAnsi="Verdana"/>
                <w:color w:val="262626"/>
                <w:spacing w:val="-2"/>
                <w:w w:val="110"/>
                <w:sz w:val="20"/>
                <w:szCs w:val="20"/>
              </w:rPr>
              <w:t xml:space="preserve"> LEA-level</w:t>
            </w:r>
            <w:r>
              <w:rPr>
                <w:rFonts w:ascii="Verdana" w:hAnsi="Verdana"/>
                <w:color w:val="262626"/>
                <w:spacing w:val="-2"/>
                <w:w w:val="110"/>
                <w:sz w:val="20"/>
                <w:szCs w:val="20"/>
              </w:rPr>
              <w:t>)</w:t>
            </w:r>
            <w:r w:rsidR="006D2F8F" w:rsidRPr="00493F7C">
              <w:rPr>
                <w:rFonts w:ascii="Verdana" w:hAnsi="Verdana"/>
                <w:color w:val="262626"/>
                <w:spacing w:val="-2"/>
                <w:w w:val="110"/>
                <w:sz w:val="20"/>
                <w:szCs w:val="20"/>
              </w:rPr>
              <w:t xml:space="preserve">, ESC leaders, and superintendents </w:t>
            </w:r>
            <w:r>
              <w:rPr>
                <w:rFonts w:ascii="Verdana" w:hAnsi="Verdana"/>
                <w:color w:val="262626"/>
                <w:spacing w:val="-2"/>
                <w:w w:val="110"/>
                <w:sz w:val="20"/>
                <w:szCs w:val="20"/>
              </w:rPr>
              <w:t xml:space="preserve">who </w:t>
            </w:r>
            <w:r w:rsidR="006D2F8F" w:rsidRPr="00493F7C">
              <w:rPr>
                <w:rFonts w:ascii="Verdana" w:hAnsi="Verdana"/>
                <w:color w:val="262626"/>
                <w:spacing w:val="-2"/>
                <w:w w:val="110"/>
                <w:sz w:val="20"/>
                <w:szCs w:val="20"/>
              </w:rPr>
              <w:t>understand special education programming</w:t>
            </w:r>
            <w:r>
              <w:rPr>
                <w:rFonts w:ascii="Verdana" w:hAnsi="Verdana"/>
                <w:color w:val="262626"/>
                <w:spacing w:val="-2"/>
                <w:w w:val="110"/>
                <w:sz w:val="20"/>
                <w:szCs w:val="20"/>
              </w:rPr>
              <w:t>,</w:t>
            </w:r>
            <w:r w:rsidR="006D2F8F" w:rsidRPr="00493F7C">
              <w:rPr>
                <w:rFonts w:ascii="Verdana" w:hAnsi="Verdana"/>
                <w:color w:val="262626"/>
                <w:spacing w:val="-2"/>
                <w:w w:val="110"/>
                <w:sz w:val="20"/>
                <w:szCs w:val="20"/>
              </w:rPr>
              <w:t xml:space="preserve"> funding</w:t>
            </w:r>
            <w:r>
              <w:rPr>
                <w:rFonts w:ascii="Verdana" w:hAnsi="Verdana"/>
                <w:color w:val="262626"/>
                <w:spacing w:val="-2"/>
                <w:w w:val="110"/>
                <w:sz w:val="20"/>
                <w:szCs w:val="20"/>
              </w:rPr>
              <w:t xml:space="preserve">, </w:t>
            </w:r>
            <w:r w:rsidR="006D2F8F" w:rsidRPr="00493F7C">
              <w:rPr>
                <w:rFonts w:ascii="Verdana" w:hAnsi="Verdana"/>
                <w:color w:val="262626"/>
                <w:spacing w:val="-2"/>
                <w:w w:val="110"/>
                <w:sz w:val="20"/>
                <w:szCs w:val="20"/>
              </w:rPr>
              <w:t>and program administration</w:t>
            </w:r>
          </w:p>
        </w:tc>
      </w:tr>
      <w:tr w:rsidR="006D2F8F" w:rsidRPr="00E36351" w14:paraId="645A7B00" w14:textId="77777777" w:rsidTr="00493F7C">
        <w:tc>
          <w:tcPr>
            <w:tcW w:w="3330" w:type="dxa"/>
          </w:tcPr>
          <w:p w14:paraId="6DCBD582" w14:textId="02795203" w:rsidR="006D2F8F" w:rsidRPr="00493F7C" w:rsidRDefault="006D2F8F"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Professional Organizations</w:t>
            </w:r>
          </w:p>
        </w:tc>
        <w:tc>
          <w:tcPr>
            <w:tcW w:w="6570" w:type="dxa"/>
          </w:tcPr>
          <w:p w14:paraId="3FCADBAE" w14:textId="420B1271" w:rsidR="006D2F8F" w:rsidRPr="00493F7C" w:rsidRDefault="00A93787"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E</w:t>
            </w:r>
            <w:r w:rsidR="006D2F8F" w:rsidRPr="00493F7C">
              <w:rPr>
                <w:rFonts w:ascii="Verdana" w:hAnsi="Verdana"/>
                <w:color w:val="262626"/>
                <w:spacing w:val="-2"/>
                <w:w w:val="110"/>
                <w:sz w:val="20"/>
                <w:szCs w:val="20"/>
              </w:rPr>
              <w:t>ducational professionals in the field of special education</w:t>
            </w:r>
          </w:p>
        </w:tc>
      </w:tr>
      <w:tr w:rsidR="006D2F8F" w:rsidRPr="00E36351" w14:paraId="145E838F" w14:textId="77777777" w:rsidTr="00493F7C">
        <w:tc>
          <w:tcPr>
            <w:tcW w:w="3330" w:type="dxa"/>
          </w:tcPr>
          <w:p w14:paraId="5973E904" w14:textId="1088B2C6" w:rsidR="006D2F8F" w:rsidRPr="00493F7C" w:rsidRDefault="006D2F8F"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Advocacy Organizations</w:t>
            </w:r>
          </w:p>
        </w:tc>
        <w:tc>
          <w:tcPr>
            <w:tcW w:w="6570" w:type="dxa"/>
          </w:tcPr>
          <w:p w14:paraId="4EBF1A3D" w14:textId="7354B3F3" w:rsidR="006D2F8F" w:rsidRPr="00493F7C" w:rsidRDefault="006D2F8F"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Community of organizations that support parents and students with disabilities</w:t>
            </w:r>
          </w:p>
        </w:tc>
      </w:tr>
    </w:tbl>
    <w:p w14:paraId="566AB475" w14:textId="4228A4D5" w:rsidR="00F1702F" w:rsidRPr="00702543" w:rsidRDefault="00F1702F" w:rsidP="006D2F8F">
      <w:pPr>
        <w:spacing w:before="75" w:line="276" w:lineRule="auto"/>
        <w:ind w:left="120" w:hanging="9"/>
        <w:rPr>
          <w:rFonts w:ascii="Verdana" w:hAnsi="Verdana"/>
          <w:sz w:val="16"/>
          <w:szCs w:val="16"/>
        </w:rPr>
      </w:pPr>
    </w:p>
    <w:p w14:paraId="49FE6425" w14:textId="77777777" w:rsidR="00F1702F" w:rsidRPr="00493F7C" w:rsidRDefault="00F1702F" w:rsidP="00493F7C">
      <w:pPr>
        <w:pStyle w:val="Heading2"/>
        <w:rPr>
          <w:b w:val="0"/>
        </w:rPr>
      </w:pPr>
      <w:r w:rsidRPr="00493F7C">
        <w:t>Transparency</w:t>
      </w:r>
    </w:p>
    <w:p w14:paraId="2F4F3C99" w14:textId="7B63D652" w:rsidR="00F1702F" w:rsidRPr="00493F7C" w:rsidRDefault="00F1702F" w:rsidP="00493F7C">
      <w:pPr>
        <w:pStyle w:val="BodyText"/>
        <w:ind w:right="-10" w:hanging="7"/>
        <w:rPr>
          <w:rFonts w:ascii="Verdana" w:hAnsi="Verdana"/>
          <w:color w:val="242424"/>
          <w:w w:val="105"/>
          <w:sz w:val="20"/>
          <w:szCs w:val="20"/>
        </w:rPr>
      </w:pPr>
      <w:r w:rsidRPr="00493F7C">
        <w:rPr>
          <w:rFonts w:ascii="Verdana" w:hAnsi="Verdana"/>
          <w:color w:val="242424"/>
          <w:w w:val="105"/>
          <w:sz w:val="20"/>
          <w:szCs w:val="20"/>
        </w:rPr>
        <w:t>TEA recognizes the importance of transparency in building trust</w:t>
      </w:r>
      <w:r w:rsidR="006821C7" w:rsidRPr="00493F7C">
        <w:rPr>
          <w:rFonts w:ascii="Verdana" w:hAnsi="Verdana"/>
          <w:color w:val="242424"/>
          <w:w w:val="105"/>
          <w:sz w:val="20"/>
          <w:szCs w:val="20"/>
        </w:rPr>
        <w:t xml:space="preserve"> and will post on its website the </w:t>
      </w:r>
      <w:r w:rsidRPr="00493F7C">
        <w:rPr>
          <w:rFonts w:ascii="Verdana" w:hAnsi="Verdana"/>
          <w:color w:val="242424"/>
          <w:w w:val="105"/>
          <w:sz w:val="20"/>
          <w:szCs w:val="20"/>
        </w:rPr>
        <w:t>meeting attendance, agendas, presentations,</w:t>
      </w:r>
      <w:r w:rsidR="006821C7" w:rsidRPr="00493F7C">
        <w:rPr>
          <w:rFonts w:ascii="Verdana" w:hAnsi="Verdana"/>
          <w:color w:val="242424"/>
          <w:w w:val="105"/>
          <w:sz w:val="20"/>
          <w:szCs w:val="20"/>
        </w:rPr>
        <w:t xml:space="preserve"> </w:t>
      </w:r>
      <w:r w:rsidRPr="00493F7C">
        <w:rPr>
          <w:rFonts w:ascii="Verdana" w:hAnsi="Verdana"/>
          <w:color w:val="242424"/>
          <w:w w:val="105"/>
          <w:sz w:val="20"/>
          <w:szCs w:val="20"/>
        </w:rPr>
        <w:t xml:space="preserve">minutes, and schedules </w:t>
      </w:r>
      <w:r w:rsidR="006821C7" w:rsidRPr="00493F7C">
        <w:rPr>
          <w:rFonts w:ascii="Verdana" w:hAnsi="Verdana"/>
          <w:color w:val="242424"/>
          <w:w w:val="105"/>
          <w:sz w:val="20"/>
          <w:szCs w:val="20"/>
        </w:rPr>
        <w:t>for all the focus groups and committee meetings outlined in this plan in accordance with the Family Educational Rights and Privacy Act (FERPA) (20 U.S.C. § 1232g; 34 CFR Part 99).</w:t>
      </w:r>
    </w:p>
    <w:p w14:paraId="43F39BD6" w14:textId="77777777" w:rsidR="006821C7" w:rsidRPr="00493F7C" w:rsidRDefault="006821C7" w:rsidP="00493F7C">
      <w:pPr>
        <w:pStyle w:val="BodyText"/>
        <w:ind w:right="-10" w:hanging="7"/>
        <w:rPr>
          <w:rFonts w:ascii="Verdana" w:hAnsi="Verdana"/>
          <w:color w:val="242424"/>
          <w:w w:val="105"/>
          <w:sz w:val="20"/>
          <w:szCs w:val="20"/>
        </w:rPr>
      </w:pPr>
    </w:p>
    <w:p w14:paraId="2C485001" w14:textId="6AE09C52" w:rsidR="00F1702F" w:rsidRPr="00493F7C" w:rsidRDefault="00787047" w:rsidP="0058659F">
      <w:pPr>
        <w:pStyle w:val="BodyText"/>
        <w:ind w:right="-10" w:hanging="7"/>
        <w:rPr>
          <w:rFonts w:ascii="Verdana" w:hAnsi="Verdana"/>
          <w:color w:val="242424"/>
          <w:w w:val="105"/>
          <w:sz w:val="20"/>
          <w:szCs w:val="20"/>
        </w:rPr>
      </w:pPr>
      <w:r w:rsidRPr="00493F7C">
        <w:rPr>
          <w:rFonts w:ascii="Verdana" w:hAnsi="Verdana"/>
          <w:color w:val="242424"/>
          <w:w w:val="105"/>
          <w:sz w:val="20"/>
          <w:szCs w:val="20"/>
        </w:rPr>
        <w:t xml:space="preserve">The </w:t>
      </w:r>
      <w:r w:rsidR="00DE176F" w:rsidRPr="00493F7C">
        <w:rPr>
          <w:rFonts w:ascii="Verdana" w:hAnsi="Verdana"/>
          <w:color w:val="242424"/>
          <w:w w:val="105"/>
          <w:sz w:val="20"/>
          <w:szCs w:val="20"/>
        </w:rPr>
        <w:t>Continuing Advisory Committee</w:t>
      </w:r>
      <w:r w:rsidRPr="00493F7C">
        <w:rPr>
          <w:rFonts w:ascii="Verdana" w:hAnsi="Verdana"/>
          <w:color w:val="242424"/>
          <w:w w:val="105"/>
          <w:sz w:val="20"/>
          <w:szCs w:val="20"/>
        </w:rPr>
        <w:t xml:space="preserve"> for Special Education</w:t>
      </w:r>
      <w:r w:rsidR="00DE176F" w:rsidRPr="00493F7C">
        <w:rPr>
          <w:rFonts w:ascii="Verdana" w:hAnsi="Verdana"/>
          <w:color w:val="242424"/>
          <w:w w:val="105"/>
          <w:sz w:val="20"/>
          <w:szCs w:val="20"/>
        </w:rPr>
        <w:t xml:space="preserve"> (</w:t>
      </w:r>
      <w:r w:rsidR="00F1702F" w:rsidRPr="00493F7C">
        <w:rPr>
          <w:rFonts w:ascii="Verdana" w:hAnsi="Verdana"/>
          <w:color w:val="242424"/>
          <w:w w:val="105"/>
          <w:sz w:val="20"/>
          <w:szCs w:val="20"/>
        </w:rPr>
        <w:t>CAC</w:t>
      </w:r>
      <w:r w:rsidR="00DE176F" w:rsidRPr="00493F7C">
        <w:rPr>
          <w:rFonts w:ascii="Verdana" w:hAnsi="Verdana"/>
          <w:color w:val="242424"/>
          <w:w w:val="105"/>
          <w:sz w:val="20"/>
          <w:szCs w:val="20"/>
        </w:rPr>
        <w:t>)</w:t>
      </w:r>
      <w:r w:rsidR="00F1702F" w:rsidRPr="00493F7C">
        <w:rPr>
          <w:rFonts w:ascii="Verdana" w:hAnsi="Verdana"/>
          <w:color w:val="242424"/>
          <w:w w:val="105"/>
          <w:sz w:val="20"/>
          <w:szCs w:val="20"/>
        </w:rPr>
        <w:t xml:space="preserve"> </w:t>
      </w:r>
      <w:r w:rsidR="003B0CC3" w:rsidRPr="00493F7C">
        <w:rPr>
          <w:rFonts w:ascii="Verdana" w:hAnsi="Verdana"/>
          <w:color w:val="242424"/>
          <w:w w:val="105"/>
          <w:sz w:val="20"/>
          <w:szCs w:val="20"/>
        </w:rPr>
        <w:t xml:space="preserve">is subject to </w:t>
      </w:r>
      <w:r w:rsidR="00F1702F" w:rsidRPr="00493F7C">
        <w:rPr>
          <w:rFonts w:ascii="Verdana" w:hAnsi="Verdana"/>
          <w:color w:val="242424"/>
          <w:w w:val="105"/>
          <w:sz w:val="20"/>
          <w:szCs w:val="20"/>
        </w:rPr>
        <w:t>the Texas Open Meetings Act</w:t>
      </w:r>
      <w:r w:rsidR="003B0CC3" w:rsidRPr="00493F7C">
        <w:rPr>
          <w:rFonts w:ascii="Verdana" w:hAnsi="Verdana"/>
          <w:color w:val="242424"/>
          <w:w w:val="105"/>
          <w:sz w:val="20"/>
          <w:szCs w:val="20"/>
        </w:rPr>
        <w:t xml:space="preserve"> (OMA) and will comply with its requirements.</w:t>
      </w:r>
    </w:p>
    <w:p w14:paraId="40628110" w14:textId="77777777" w:rsidR="0058659F" w:rsidRDefault="0058659F" w:rsidP="0058659F">
      <w:pPr>
        <w:pStyle w:val="Heading1"/>
        <w:spacing w:before="0" w:line="240" w:lineRule="auto"/>
        <w:ind w:left="0"/>
        <w:rPr>
          <w:spacing w:val="-2"/>
        </w:rPr>
      </w:pPr>
    </w:p>
    <w:p w14:paraId="42C95E04" w14:textId="28EDA869" w:rsidR="00B11F0B" w:rsidRPr="003B0CC3" w:rsidRDefault="00DE176F" w:rsidP="003B0CC3">
      <w:pPr>
        <w:pStyle w:val="Heading1"/>
        <w:ind w:left="0"/>
        <w:rPr>
          <w:b w:val="0"/>
          <w:spacing w:val="-2"/>
        </w:rPr>
      </w:pPr>
      <w:r w:rsidRPr="003B0CC3">
        <w:rPr>
          <w:spacing w:val="-2"/>
        </w:rPr>
        <w:t xml:space="preserve">New </w:t>
      </w:r>
      <w:r w:rsidR="003B0CC3">
        <w:rPr>
          <w:spacing w:val="-2"/>
        </w:rPr>
        <w:t>Stakeholder</w:t>
      </w:r>
      <w:r w:rsidR="003A1825">
        <w:rPr>
          <w:spacing w:val="-2"/>
        </w:rPr>
        <w:t xml:space="preserve"> Engagement</w:t>
      </w:r>
      <w:r w:rsidR="003B0CC3">
        <w:rPr>
          <w:spacing w:val="-2"/>
        </w:rPr>
        <w:t xml:space="preserve"> </w:t>
      </w:r>
      <w:r w:rsidRPr="003B0CC3">
        <w:rPr>
          <w:spacing w:val="-2"/>
        </w:rPr>
        <w:t>Opportunities</w:t>
      </w:r>
    </w:p>
    <w:p w14:paraId="14FE1481" w14:textId="77777777" w:rsidR="00DE176F" w:rsidRPr="00A03B2E" w:rsidRDefault="00DE176F" w:rsidP="006D2F8F">
      <w:pPr>
        <w:spacing w:before="75" w:line="276" w:lineRule="auto"/>
        <w:ind w:left="120" w:hanging="9"/>
        <w:rPr>
          <w:rFonts w:ascii="Verdana" w:hAnsi="Verdana"/>
          <w:sz w:val="16"/>
          <w:szCs w:val="16"/>
        </w:rPr>
      </w:pPr>
    </w:p>
    <w:p w14:paraId="6B7711EC" w14:textId="608A3AFC" w:rsidR="00881CFE" w:rsidRPr="00493F7C" w:rsidRDefault="00881CFE" w:rsidP="00493F7C">
      <w:pPr>
        <w:pStyle w:val="Heading2"/>
        <w:rPr>
          <w:b w:val="0"/>
        </w:rPr>
      </w:pPr>
      <w:r>
        <w:t>Focus Groups</w:t>
      </w:r>
    </w:p>
    <w:p w14:paraId="71917C6F" w14:textId="77777777" w:rsidR="002D5F22" w:rsidRDefault="00881CFE" w:rsidP="002D5F22">
      <w:pPr>
        <w:ind w:right="-10" w:hanging="6"/>
        <w:rPr>
          <w:rFonts w:ascii="Verdana" w:hAnsi="Verdana"/>
          <w:color w:val="262626"/>
          <w:sz w:val="20"/>
          <w:szCs w:val="20"/>
        </w:rPr>
      </w:pPr>
      <w:r w:rsidRPr="00493F7C">
        <w:rPr>
          <w:rFonts w:ascii="Verdana" w:hAnsi="Verdana"/>
          <w:color w:val="262626"/>
          <w:sz w:val="20"/>
          <w:szCs w:val="20"/>
        </w:rPr>
        <w:t>TEA will hold annual focus groups (one per region per year). The focus group will be held over a 2-day period and will include evening sessions to accommodate the schedules of the different stakeholders.  Child care will be provided.</w:t>
      </w:r>
      <w:r w:rsidR="0073253B" w:rsidRPr="00493F7C">
        <w:rPr>
          <w:rFonts w:ascii="Verdana" w:hAnsi="Verdana"/>
          <w:color w:val="262626"/>
          <w:sz w:val="20"/>
          <w:szCs w:val="20"/>
        </w:rPr>
        <w:t xml:space="preserve"> Below is a sample schedule.</w:t>
      </w:r>
    </w:p>
    <w:p w14:paraId="6FF9E258" w14:textId="77777777" w:rsidR="002D5F22" w:rsidRDefault="002D5F22">
      <w:pPr>
        <w:rPr>
          <w:rFonts w:ascii="Verdana" w:hAnsi="Verdana"/>
          <w:color w:val="262626"/>
          <w:sz w:val="20"/>
          <w:szCs w:val="20"/>
        </w:rPr>
      </w:pPr>
      <w:r>
        <w:rPr>
          <w:rFonts w:ascii="Verdana" w:hAnsi="Verdana"/>
          <w:color w:val="262626"/>
          <w:sz w:val="20"/>
          <w:szCs w:val="20"/>
        </w:rPr>
        <w:br w:type="page"/>
      </w:r>
    </w:p>
    <w:p w14:paraId="355C5F30" w14:textId="755F9C3E" w:rsidR="002E087E" w:rsidRDefault="002E087E" w:rsidP="002D5F22">
      <w:pPr>
        <w:ind w:right="-10" w:hanging="6"/>
        <w:rPr>
          <w:rFonts w:ascii="Verdana" w:hAnsi="Verdana"/>
          <w:color w:val="242424"/>
          <w:w w:val="105"/>
          <w:sz w:val="20"/>
          <w:szCs w:val="20"/>
        </w:rPr>
      </w:pPr>
    </w:p>
    <w:p w14:paraId="3708F2C6" w14:textId="77777777" w:rsidR="00F1702F" w:rsidRDefault="00F1702F" w:rsidP="00881CFE">
      <w:pPr>
        <w:pStyle w:val="BodyText"/>
        <w:ind w:left="175" w:right="862" w:hanging="7"/>
        <w:rPr>
          <w:rFonts w:ascii="Verdana" w:hAnsi="Verdana"/>
          <w:color w:val="242424"/>
          <w:w w:val="105"/>
          <w:sz w:val="20"/>
          <w:szCs w:val="20"/>
        </w:rPr>
      </w:pPr>
    </w:p>
    <w:tbl>
      <w:tblPr>
        <w:tblStyle w:val="TableGrid"/>
        <w:tblW w:w="8095" w:type="dxa"/>
        <w:jc w:val="center"/>
        <w:tblLook w:val="04A0" w:firstRow="1" w:lastRow="0" w:firstColumn="1" w:lastColumn="0" w:noHBand="0" w:noVBand="1"/>
        <w:tblCaption w:val="Sample schedule of a 2-day focus group"/>
        <w:tblDescription w:val="The table lists the stakeholders who will participate in the 2-day focus group and the meeting frequency."/>
      </w:tblPr>
      <w:tblGrid>
        <w:gridCol w:w="3505"/>
        <w:gridCol w:w="4590"/>
      </w:tblGrid>
      <w:tr w:rsidR="003A1825" w:rsidRPr="00E36351" w14:paraId="45699CFF" w14:textId="77777777" w:rsidTr="0058659F">
        <w:trPr>
          <w:trHeight w:val="422"/>
          <w:jc w:val="center"/>
        </w:trPr>
        <w:tc>
          <w:tcPr>
            <w:tcW w:w="3505" w:type="dxa"/>
          </w:tcPr>
          <w:p w14:paraId="63F7628D" w14:textId="3174114B" w:rsidR="003A1825" w:rsidRPr="00E36351" w:rsidRDefault="003A1825" w:rsidP="00F1702F">
            <w:pPr>
              <w:pStyle w:val="BodyText"/>
              <w:spacing w:before="112" w:line="230" w:lineRule="auto"/>
              <w:ind w:right="197"/>
              <w:jc w:val="center"/>
              <w:rPr>
                <w:rFonts w:ascii="Verdana" w:hAnsi="Verdana"/>
                <w:b/>
                <w:color w:val="0D0D0D"/>
                <w:sz w:val="20"/>
                <w:szCs w:val="20"/>
              </w:rPr>
            </w:pPr>
            <w:r>
              <w:rPr>
                <w:rFonts w:ascii="Verdana" w:hAnsi="Verdana"/>
                <w:color w:val="242424"/>
                <w:w w:val="105"/>
                <w:sz w:val="20"/>
                <w:szCs w:val="20"/>
              </w:rPr>
              <w:br w:type="page"/>
            </w:r>
            <w:r>
              <w:rPr>
                <w:rFonts w:ascii="Verdana" w:hAnsi="Verdana"/>
                <w:b/>
                <w:color w:val="0D0D0D"/>
                <w:sz w:val="20"/>
                <w:szCs w:val="20"/>
              </w:rPr>
              <w:t>Stakeholder</w:t>
            </w:r>
          </w:p>
        </w:tc>
        <w:tc>
          <w:tcPr>
            <w:tcW w:w="4590" w:type="dxa"/>
          </w:tcPr>
          <w:p w14:paraId="03ED58CD" w14:textId="70EB1D1F" w:rsidR="003A1825" w:rsidRPr="00E36351" w:rsidRDefault="003A1825" w:rsidP="00F1702F">
            <w:pPr>
              <w:pStyle w:val="BodyText"/>
              <w:spacing w:before="112" w:line="230" w:lineRule="auto"/>
              <w:ind w:right="197"/>
              <w:jc w:val="center"/>
              <w:rPr>
                <w:rFonts w:ascii="Verdana" w:hAnsi="Verdana"/>
                <w:b/>
                <w:color w:val="0D0D0D"/>
                <w:sz w:val="20"/>
                <w:szCs w:val="20"/>
              </w:rPr>
            </w:pPr>
            <w:r>
              <w:rPr>
                <w:rFonts w:ascii="Verdana" w:hAnsi="Verdana"/>
                <w:b/>
                <w:color w:val="0D0D0D"/>
                <w:sz w:val="20"/>
                <w:szCs w:val="20"/>
              </w:rPr>
              <w:t>Meeting Frequency</w:t>
            </w:r>
          </w:p>
        </w:tc>
      </w:tr>
      <w:tr w:rsidR="003A1825" w:rsidRPr="00E36351" w14:paraId="1A166E80" w14:textId="77777777" w:rsidTr="0058659F">
        <w:trPr>
          <w:jc w:val="center"/>
        </w:trPr>
        <w:tc>
          <w:tcPr>
            <w:tcW w:w="3505" w:type="dxa"/>
          </w:tcPr>
          <w:p w14:paraId="7FB8AC23" w14:textId="77777777" w:rsidR="003A1825" w:rsidRPr="00493F7C" w:rsidRDefault="003A1825" w:rsidP="0078693F">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Students</w:t>
            </w:r>
          </w:p>
        </w:tc>
        <w:tc>
          <w:tcPr>
            <w:tcW w:w="4590" w:type="dxa"/>
          </w:tcPr>
          <w:p w14:paraId="6367903B" w14:textId="2ECBB8D2" w:rsidR="003A1825" w:rsidRPr="00493F7C" w:rsidRDefault="003A1825" w:rsidP="0078693F">
            <w:pPr>
              <w:pStyle w:val="BodyText"/>
              <w:ind w:left="-14" w:right="-104" w:hanging="7"/>
              <w:jc w:val="center"/>
              <w:rPr>
                <w:rFonts w:ascii="Verdana" w:hAnsi="Verdana"/>
                <w:color w:val="262626"/>
                <w:spacing w:val="-2"/>
                <w:w w:val="110"/>
                <w:sz w:val="20"/>
                <w:szCs w:val="20"/>
              </w:rPr>
            </w:pPr>
            <w:r w:rsidRPr="00493F7C">
              <w:rPr>
                <w:rFonts w:ascii="Verdana" w:hAnsi="Verdana"/>
                <w:color w:val="262626"/>
                <w:spacing w:val="-2"/>
                <w:w w:val="110"/>
                <w:sz w:val="20"/>
                <w:szCs w:val="20"/>
              </w:rPr>
              <w:t>Both days</w:t>
            </w:r>
          </w:p>
        </w:tc>
      </w:tr>
      <w:tr w:rsidR="003A1825" w:rsidRPr="00E36351" w14:paraId="33A31059" w14:textId="77777777" w:rsidTr="0058659F">
        <w:trPr>
          <w:jc w:val="center"/>
        </w:trPr>
        <w:tc>
          <w:tcPr>
            <w:tcW w:w="3505" w:type="dxa"/>
          </w:tcPr>
          <w:p w14:paraId="6999EDC7" w14:textId="77777777" w:rsidR="003A1825" w:rsidRPr="00493F7C" w:rsidRDefault="003A1825"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Parents and Families</w:t>
            </w:r>
          </w:p>
        </w:tc>
        <w:tc>
          <w:tcPr>
            <w:tcW w:w="4590" w:type="dxa"/>
          </w:tcPr>
          <w:p w14:paraId="20149B9B" w14:textId="7BACFF73" w:rsidR="003A1825" w:rsidRPr="00493F7C" w:rsidRDefault="003A1825" w:rsidP="00493F7C">
            <w:pPr>
              <w:pStyle w:val="BodyText"/>
              <w:ind w:left="-14" w:right="-104" w:hanging="7"/>
              <w:jc w:val="center"/>
              <w:rPr>
                <w:rFonts w:ascii="Verdana" w:hAnsi="Verdana"/>
                <w:color w:val="262626"/>
                <w:spacing w:val="-2"/>
                <w:w w:val="110"/>
                <w:sz w:val="20"/>
                <w:szCs w:val="20"/>
              </w:rPr>
            </w:pPr>
            <w:r w:rsidRPr="00493F7C">
              <w:rPr>
                <w:rFonts w:ascii="Verdana" w:hAnsi="Verdana"/>
                <w:color w:val="262626"/>
                <w:spacing w:val="-2"/>
                <w:w w:val="110"/>
                <w:sz w:val="20"/>
                <w:szCs w:val="20"/>
              </w:rPr>
              <w:t>Both days with one held in the evening</w:t>
            </w:r>
          </w:p>
        </w:tc>
      </w:tr>
      <w:tr w:rsidR="003A1825" w:rsidRPr="00E36351" w14:paraId="2D8E8D3A" w14:textId="77777777" w:rsidTr="0058659F">
        <w:trPr>
          <w:trHeight w:val="413"/>
          <w:jc w:val="center"/>
        </w:trPr>
        <w:tc>
          <w:tcPr>
            <w:tcW w:w="3505" w:type="dxa"/>
          </w:tcPr>
          <w:p w14:paraId="11B6EE7E" w14:textId="77777777" w:rsidR="003A1825" w:rsidRPr="00493F7C" w:rsidRDefault="003A1825" w:rsidP="00493F7C">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Teachers and Practitioners</w:t>
            </w:r>
          </w:p>
        </w:tc>
        <w:tc>
          <w:tcPr>
            <w:tcW w:w="4590" w:type="dxa"/>
          </w:tcPr>
          <w:p w14:paraId="5C106E01" w14:textId="050FE00E" w:rsidR="003A1825" w:rsidRPr="00493F7C" w:rsidRDefault="003A1825" w:rsidP="00493F7C">
            <w:pPr>
              <w:pStyle w:val="BodyText"/>
              <w:ind w:left="-14" w:right="-104" w:hanging="7"/>
              <w:jc w:val="center"/>
              <w:rPr>
                <w:rFonts w:ascii="Verdana" w:hAnsi="Verdana"/>
                <w:color w:val="262626"/>
                <w:spacing w:val="-2"/>
                <w:w w:val="110"/>
                <w:sz w:val="20"/>
                <w:szCs w:val="20"/>
              </w:rPr>
            </w:pPr>
            <w:r w:rsidRPr="00493F7C">
              <w:rPr>
                <w:rFonts w:ascii="Verdana" w:hAnsi="Verdana"/>
                <w:color w:val="262626"/>
                <w:spacing w:val="-2"/>
                <w:w w:val="110"/>
                <w:sz w:val="20"/>
                <w:szCs w:val="20"/>
              </w:rPr>
              <w:t>One held in the evening</w:t>
            </w:r>
          </w:p>
        </w:tc>
      </w:tr>
      <w:tr w:rsidR="003A1825" w:rsidRPr="00E36351" w14:paraId="3389BFD2" w14:textId="77777777" w:rsidTr="0058659F">
        <w:trPr>
          <w:trHeight w:val="395"/>
          <w:jc w:val="center"/>
        </w:trPr>
        <w:tc>
          <w:tcPr>
            <w:tcW w:w="3505" w:type="dxa"/>
          </w:tcPr>
          <w:p w14:paraId="50CCAC9B" w14:textId="68B6A285" w:rsidR="003A1825" w:rsidRPr="00493F7C" w:rsidRDefault="003A1825" w:rsidP="0078693F">
            <w:pPr>
              <w:pStyle w:val="BodyText"/>
              <w:ind w:left="-14" w:right="-104" w:hanging="7"/>
              <w:rPr>
                <w:rFonts w:ascii="Verdana" w:hAnsi="Verdana"/>
                <w:color w:val="262626"/>
                <w:spacing w:val="-2"/>
                <w:w w:val="110"/>
                <w:sz w:val="20"/>
                <w:szCs w:val="20"/>
              </w:rPr>
            </w:pPr>
            <w:r w:rsidRPr="00493F7C">
              <w:rPr>
                <w:rFonts w:ascii="Verdana" w:hAnsi="Verdana"/>
                <w:color w:val="262626"/>
                <w:spacing w:val="-2"/>
                <w:w w:val="110"/>
                <w:sz w:val="20"/>
                <w:szCs w:val="20"/>
              </w:rPr>
              <w:t>LEA and ESC Leadership</w:t>
            </w:r>
          </w:p>
        </w:tc>
        <w:tc>
          <w:tcPr>
            <w:tcW w:w="4590" w:type="dxa"/>
            <w:shd w:val="clear" w:color="auto" w:fill="auto"/>
          </w:tcPr>
          <w:p w14:paraId="5A1D8CB9" w14:textId="75FA26F4" w:rsidR="003A1825" w:rsidRPr="00493F7C" w:rsidRDefault="003A1825" w:rsidP="0078693F">
            <w:pPr>
              <w:pStyle w:val="BodyText"/>
              <w:ind w:left="-14" w:right="-104" w:hanging="7"/>
              <w:jc w:val="center"/>
              <w:rPr>
                <w:rFonts w:ascii="Verdana" w:hAnsi="Verdana"/>
                <w:color w:val="262626"/>
                <w:spacing w:val="-2"/>
                <w:w w:val="110"/>
                <w:sz w:val="20"/>
                <w:szCs w:val="20"/>
              </w:rPr>
            </w:pPr>
            <w:r w:rsidRPr="00493F7C">
              <w:rPr>
                <w:rFonts w:ascii="Verdana" w:hAnsi="Verdana"/>
                <w:color w:val="262626"/>
                <w:spacing w:val="-2"/>
                <w:w w:val="110"/>
                <w:sz w:val="20"/>
                <w:szCs w:val="20"/>
              </w:rPr>
              <w:t>One day</w:t>
            </w:r>
          </w:p>
        </w:tc>
      </w:tr>
    </w:tbl>
    <w:p w14:paraId="4FF85331" w14:textId="77777777" w:rsidR="00077199" w:rsidRPr="00642799" w:rsidRDefault="00077199" w:rsidP="00642799">
      <w:pPr>
        <w:pStyle w:val="BodyText"/>
        <w:ind w:left="175" w:right="862" w:hanging="7"/>
        <w:rPr>
          <w:rFonts w:ascii="Verdana" w:hAnsi="Verdana"/>
          <w:sz w:val="20"/>
          <w:szCs w:val="20"/>
        </w:rPr>
      </w:pPr>
    </w:p>
    <w:p w14:paraId="044682BF" w14:textId="77777777" w:rsidR="00881CFE" w:rsidRDefault="00881CFE" w:rsidP="00A03B2E">
      <w:pPr>
        <w:ind w:right="-10"/>
        <w:rPr>
          <w:rFonts w:ascii="Verdana" w:hAnsi="Verdana"/>
          <w:color w:val="262626"/>
          <w:sz w:val="20"/>
          <w:szCs w:val="20"/>
        </w:rPr>
      </w:pPr>
      <w:r w:rsidRPr="00642799">
        <w:rPr>
          <w:rFonts w:ascii="Verdana" w:hAnsi="Verdana"/>
          <w:color w:val="262626"/>
          <w:sz w:val="20"/>
          <w:szCs w:val="20"/>
        </w:rPr>
        <w:t>These focus groups</w:t>
      </w:r>
      <w:r>
        <w:rPr>
          <w:rFonts w:ascii="Verdana" w:hAnsi="Verdana"/>
          <w:color w:val="262626"/>
          <w:sz w:val="20"/>
          <w:szCs w:val="20"/>
        </w:rPr>
        <w:t xml:space="preserve"> meetings</w:t>
      </w:r>
      <w:r w:rsidRPr="00642799">
        <w:rPr>
          <w:rFonts w:ascii="Verdana" w:hAnsi="Verdana"/>
          <w:color w:val="262626"/>
          <w:sz w:val="20"/>
          <w:szCs w:val="20"/>
        </w:rPr>
        <w:t xml:space="preserve"> </w:t>
      </w:r>
      <w:r>
        <w:rPr>
          <w:rFonts w:ascii="Verdana" w:hAnsi="Verdana"/>
          <w:color w:val="262626"/>
          <w:sz w:val="20"/>
          <w:szCs w:val="20"/>
        </w:rPr>
        <w:t>will</w:t>
      </w:r>
      <w:r w:rsidRPr="00642799">
        <w:rPr>
          <w:rFonts w:ascii="Verdana" w:hAnsi="Verdana"/>
          <w:color w:val="262626"/>
          <w:sz w:val="20"/>
          <w:szCs w:val="20"/>
        </w:rPr>
        <w:t xml:space="preserve"> allow for stakeholders to meaningfully participate and </w:t>
      </w:r>
      <w:r>
        <w:rPr>
          <w:rFonts w:ascii="Verdana" w:hAnsi="Verdana"/>
          <w:color w:val="262626"/>
          <w:sz w:val="20"/>
          <w:szCs w:val="20"/>
        </w:rPr>
        <w:t>will be adjusted when</w:t>
      </w:r>
      <w:r w:rsidRPr="00642799">
        <w:rPr>
          <w:rFonts w:ascii="Verdana" w:hAnsi="Verdana"/>
          <w:color w:val="262626"/>
          <w:sz w:val="20"/>
          <w:szCs w:val="20"/>
        </w:rPr>
        <w:t xml:space="preserve"> demand exceeds capacity.</w:t>
      </w:r>
    </w:p>
    <w:p w14:paraId="5CBE579A" w14:textId="0D339D2B" w:rsidR="008C5038" w:rsidRDefault="008C5038" w:rsidP="009A1446">
      <w:pPr>
        <w:ind w:left="180" w:right="470"/>
        <w:rPr>
          <w:rFonts w:ascii="Verdana" w:hAnsi="Verdana"/>
          <w:sz w:val="20"/>
          <w:szCs w:val="20"/>
        </w:rPr>
      </w:pPr>
    </w:p>
    <w:p w14:paraId="6AE81385" w14:textId="4F468C89" w:rsidR="00DE176F" w:rsidRPr="00493F7C" w:rsidRDefault="00DE176F" w:rsidP="00493F7C">
      <w:pPr>
        <w:pStyle w:val="Heading2"/>
        <w:rPr>
          <w:b w:val="0"/>
        </w:rPr>
      </w:pPr>
      <w:r w:rsidRPr="00493F7C">
        <w:t>Stakeholder Committees</w:t>
      </w:r>
    </w:p>
    <w:p w14:paraId="008DC4AA" w14:textId="564EC845" w:rsidR="00881CFE" w:rsidRDefault="00881CFE" w:rsidP="00A03B2E">
      <w:pPr>
        <w:ind w:right="-10"/>
        <w:rPr>
          <w:rFonts w:ascii="Verdana" w:hAnsi="Verdana"/>
          <w:color w:val="262626"/>
          <w:sz w:val="20"/>
          <w:szCs w:val="20"/>
        </w:rPr>
      </w:pPr>
      <w:r w:rsidRPr="00642799">
        <w:rPr>
          <w:rFonts w:ascii="Verdana" w:hAnsi="Verdana"/>
          <w:color w:val="262626"/>
          <w:sz w:val="20"/>
          <w:szCs w:val="20"/>
        </w:rPr>
        <w:t>The</w:t>
      </w:r>
      <w:r>
        <w:rPr>
          <w:rFonts w:ascii="Verdana" w:hAnsi="Verdana"/>
          <w:color w:val="262626"/>
          <w:sz w:val="20"/>
          <w:szCs w:val="20"/>
        </w:rPr>
        <w:t xml:space="preserve"> following stakeholder committees will be established in the ’18-19 school year</w:t>
      </w:r>
      <w:r w:rsidR="003C1824">
        <w:rPr>
          <w:rFonts w:ascii="Verdana" w:hAnsi="Verdana"/>
          <w:color w:val="262626"/>
          <w:sz w:val="20"/>
          <w:szCs w:val="20"/>
        </w:rPr>
        <w:t xml:space="preserve"> and will hold their initial meeting in the fall of 2018</w:t>
      </w:r>
      <w:r>
        <w:rPr>
          <w:rFonts w:ascii="Verdana" w:hAnsi="Verdana"/>
          <w:color w:val="262626"/>
          <w:sz w:val="20"/>
          <w:szCs w:val="20"/>
        </w:rPr>
        <w:t xml:space="preserve">.  Details on membership and meetings dates will be posted on the Special Education section of TEA’s website as soon as they are available. </w:t>
      </w:r>
    </w:p>
    <w:p w14:paraId="0BAE2710" w14:textId="331D377A" w:rsidR="003E3266" w:rsidRDefault="003E3266" w:rsidP="00881CFE">
      <w:pPr>
        <w:ind w:left="180" w:right="470"/>
        <w:rPr>
          <w:rFonts w:ascii="Verdana" w:hAnsi="Verdana"/>
          <w:color w:val="262626"/>
          <w:sz w:val="20"/>
          <w:szCs w:val="20"/>
        </w:rPr>
      </w:pPr>
    </w:p>
    <w:tbl>
      <w:tblPr>
        <w:tblStyle w:val="TableGrid"/>
        <w:tblW w:w="10350" w:type="dxa"/>
        <w:tblInd w:w="198" w:type="dxa"/>
        <w:tblLook w:val="04A0" w:firstRow="1" w:lastRow="0" w:firstColumn="1" w:lastColumn="0" w:noHBand="0" w:noVBand="1"/>
        <w:tblCaption w:val="Stakeholder Committees"/>
        <w:tblDescription w:val="The table provides a breakdown of the committees that includes the name of the committee, a description, the meeting frequency, and membership size."/>
      </w:tblPr>
      <w:tblGrid>
        <w:gridCol w:w="1849"/>
        <w:gridCol w:w="2201"/>
        <w:gridCol w:w="1440"/>
        <w:gridCol w:w="4860"/>
      </w:tblGrid>
      <w:tr w:rsidR="00647008" w:rsidRPr="00E36351" w14:paraId="52831004" w14:textId="77777777" w:rsidTr="0058659F">
        <w:trPr>
          <w:trHeight w:val="553"/>
        </w:trPr>
        <w:tc>
          <w:tcPr>
            <w:tcW w:w="1849" w:type="dxa"/>
          </w:tcPr>
          <w:p w14:paraId="4F6711AC" w14:textId="7B765465" w:rsidR="003E3266" w:rsidRPr="00E36351" w:rsidRDefault="003E3266" w:rsidP="003E3266">
            <w:pPr>
              <w:pStyle w:val="BodyText"/>
              <w:spacing w:before="112" w:line="230" w:lineRule="auto"/>
              <w:ind w:right="197"/>
              <w:jc w:val="center"/>
              <w:rPr>
                <w:rFonts w:ascii="Verdana" w:hAnsi="Verdana"/>
                <w:b/>
                <w:color w:val="0D0D0D"/>
                <w:sz w:val="20"/>
                <w:szCs w:val="20"/>
              </w:rPr>
            </w:pPr>
            <w:r w:rsidRPr="00E36351">
              <w:rPr>
                <w:rFonts w:ascii="Verdana" w:hAnsi="Verdana"/>
                <w:b/>
                <w:color w:val="0D0D0D"/>
                <w:sz w:val="20"/>
                <w:szCs w:val="20"/>
              </w:rPr>
              <w:t>C</w:t>
            </w:r>
            <w:r>
              <w:rPr>
                <w:rFonts w:ascii="Verdana" w:hAnsi="Verdana"/>
                <w:b/>
                <w:color w:val="0D0D0D"/>
                <w:sz w:val="20"/>
                <w:szCs w:val="20"/>
              </w:rPr>
              <w:t>ommittee</w:t>
            </w:r>
          </w:p>
        </w:tc>
        <w:tc>
          <w:tcPr>
            <w:tcW w:w="2201" w:type="dxa"/>
          </w:tcPr>
          <w:p w14:paraId="2C75CFDB" w14:textId="69DAC4C4" w:rsidR="003E3266" w:rsidRPr="00E36351" w:rsidRDefault="003E3266" w:rsidP="003E3266">
            <w:pPr>
              <w:pStyle w:val="BodyText"/>
              <w:spacing w:before="112" w:line="230" w:lineRule="auto"/>
              <w:ind w:right="197"/>
              <w:jc w:val="center"/>
              <w:rPr>
                <w:rFonts w:ascii="Verdana" w:hAnsi="Verdana"/>
                <w:b/>
                <w:color w:val="0D0D0D"/>
                <w:sz w:val="20"/>
                <w:szCs w:val="20"/>
              </w:rPr>
            </w:pPr>
            <w:r w:rsidRPr="00E36351">
              <w:rPr>
                <w:rFonts w:ascii="Verdana" w:hAnsi="Verdana"/>
                <w:b/>
                <w:color w:val="0D0D0D"/>
                <w:sz w:val="20"/>
                <w:szCs w:val="20"/>
              </w:rPr>
              <w:t>Description</w:t>
            </w:r>
          </w:p>
        </w:tc>
        <w:tc>
          <w:tcPr>
            <w:tcW w:w="1440" w:type="dxa"/>
          </w:tcPr>
          <w:p w14:paraId="4FFE2CE9" w14:textId="2DCF80EC" w:rsidR="003E3266" w:rsidRDefault="003E3266" w:rsidP="00647008">
            <w:pPr>
              <w:pStyle w:val="BodyText"/>
              <w:spacing w:before="112" w:line="230" w:lineRule="auto"/>
              <w:ind w:right="15"/>
              <w:jc w:val="center"/>
              <w:rPr>
                <w:rFonts w:ascii="Verdana" w:hAnsi="Verdana"/>
                <w:b/>
                <w:color w:val="0D0D0D"/>
                <w:sz w:val="20"/>
                <w:szCs w:val="20"/>
              </w:rPr>
            </w:pPr>
            <w:r>
              <w:rPr>
                <w:rFonts w:ascii="Verdana" w:hAnsi="Verdana"/>
                <w:b/>
                <w:color w:val="0D0D0D"/>
                <w:sz w:val="20"/>
                <w:szCs w:val="20"/>
              </w:rPr>
              <w:t xml:space="preserve">Meeting Frequency </w:t>
            </w:r>
          </w:p>
        </w:tc>
        <w:tc>
          <w:tcPr>
            <w:tcW w:w="4860" w:type="dxa"/>
          </w:tcPr>
          <w:p w14:paraId="401DCE60" w14:textId="317D6CFE" w:rsidR="003E3266" w:rsidRPr="00E36351" w:rsidRDefault="00647008" w:rsidP="003E3266">
            <w:pPr>
              <w:pStyle w:val="BodyText"/>
              <w:spacing w:before="112" w:line="230" w:lineRule="auto"/>
              <w:ind w:right="197"/>
              <w:jc w:val="center"/>
              <w:rPr>
                <w:rFonts w:ascii="Verdana" w:hAnsi="Verdana"/>
                <w:b/>
                <w:color w:val="0D0D0D"/>
                <w:sz w:val="20"/>
                <w:szCs w:val="20"/>
              </w:rPr>
            </w:pPr>
            <w:r>
              <w:rPr>
                <w:rFonts w:ascii="Verdana" w:hAnsi="Verdana"/>
                <w:b/>
                <w:color w:val="0D0D0D"/>
                <w:sz w:val="20"/>
                <w:szCs w:val="20"/>
              </w:rPr>
              <w:t>Membership</w:t>
            </w:r>
          </w:p>
        </w:tc>
      </w:tr>
      <w:tr w:rsidR="007D6506" w:rsidRPr="00E36351" w14:paraId="637549DF" w14:textId="77777777" w:rsidTr="0058659F">
        <w:tc>
          <w:tcPr>
            <w:tcW w:w="1849" w:type="dxa"/>
          </w:tcPr>
          <w:p w14:paraId="090A4CD0" w14:textId="3A46E24A" w:rsidR="007D6506" w:rsidRPr="0078693F" w:rsidRDefault="007D6506" w:rsidP="0078693F">
            <w:pPr>
              <w:ind w:right="-10"/>
              <w:rPr>
                <w:rFonts w:ascii="Verdana" w:hAnsi="Verdana"/>
                <w:color w:val="262626"/>
                <w:sz w:val="20"/>
                <w:szCs w:val="20"/>
              </w:rPr>
            </w:pPr>
            <w:r w:rsidRPr="00493F7C">
              <w:rPr>
                <w:rFonts w:ascii="Verdana" w:hAnsi="Verdana"/>
                <w:color w:val="262626"/>
                <w:sz w:val="20"/>
                <w:szCs w:val="20"/>
              </w:rPr>
              <w:t>Texas Continuous Improvement Steering Committee (TCISC)</w:t>
            </w:r>
          </w:p>
        </w:tc>
        <w:tc>
          <w:tcPr>
            <w:tcW w:w="2201" w:type="dxa"/>
          </w:tcPr>
          <w:p w14:paraId="1214E703" w14:textId="5E8BD5E2" w:rsidR="007D6506" w:rsidRPr="00493F7C" w:rsidRDefault="007D6506" w:rsidP="0078693F">
            <w:pPr>
              <w:ind w:right="-10"/>
              <w:rPr>
                <w:rFonts w:ascii="Verdana" w:hAnsi="Verdana"/>
                <w:color w:val="262626"/>
                <w:sz w:val="20"/>
                <w:szCs w:val="20"/>
              </w:rPr>
            </w:pPr>
            <w:r w:rsidRPr="00493F7C">
              <w:rPr>
                <w:rFonts w:ascii="Verdana" w:hAnsi="Verdana"/>
                <w:color w:val="262626"/>
                <w:sz w:val="20"/>
                <w:szCs w:val="20"/>
              </w:rPr>
              <w:t>Advise TEA in setting targets for the State Performance Plan. Additionally, the TCISC advises TEA on matters related to special education policy and programming</w:t>
            </w:r>
          </w:p>
        </w:tc>
        <w:tc>
          <w:tcPr>
            <w:tcW w:w="1440" w:type="dxa"/>
          </w:tcPr>
          <w:p w14:paraId="5B142CED" w14:textId="2A812E98" w:rsidR="007D6506" w:rsidRPr="0078693F" w:rsidRDefault="007D6506" w:rsidP="0058659F">
            <w:pPr>
              <w:ind w:right="-10"/>
              <w:jc w:val="center"/>
              <w:rPr>
                <w:rFonts w:ascii="Verdana" w:hAnsi="Verdana"/>
                <w:color w:val="262626"/>
                <w:sz w:val="20"/>
                <w:szCs w:val="20"/>
              </w:rPr>
            </w:pPr>
            <w:r w:rsidRPr="0078693F">
              <w:rPr>
                <w:rFonts w:ascii="Verdana" w:hAnsi="Verdana"/>
                <w:color w:val="262626"/>
                <w:sz w:val="20"/>
                <w:szCs w:val="20"/>
              </w:rPr>
              <w:t>Bi-annually - Austin</w:t>
            </w:r>
          </w:p>
        </w:tc>
        <w:tc>
          <w:tcPr>
            <w:tcW w:w="4860" w:type="dxa"/>
          </w:tcPr>
          <w:p w14:paraId="6B31757E" w14:textId="1728546B" w:rsidR="007D6506" w:rsidRPr="00493F7C" w:rsidRDefault="007D6506" w:rsidP="00493F7C">
            <w:pPr>
              <w:ind w:right="-10"/>
              <w:rPr>
                <w:rFonts w:ascii="Verdana" w:hAnsi="Verdana"/>
                <w:color w:val="262626"/>
                <w:sz w:val="20"/>
                <w:szCs w:val="20"/>
              </w:rPr>
            </w:pPr>
            <w:r w:rsidRPr="00493F7C">
              <w:rPr>
                <w:rFonts w:ascii="Verdana" w:hAnsi="Verdana"/>
                <w:color w:val="262626"/>
                <w:sz w:val="20"/>
                <w:szCs w:val="20"/>
              </w:rPr>
              <w:t>20 individuals</w:t>
            </w:r>
          </w:p>
        </w:tc>
      </w:tr>
      <w:tr w:rsidR="007D6506" w:rsidRPr="00E36351" w14:paraId="77FC868E" w14:textId="77777777" w:rsidTr="0058659F">
        <w:trPr>
          <w:trHeight w:val="1457"/>
        </w:trPr>
        <w:tc>
          <w:tcPr>
            <w:tcW w:w="1849" w:type="dxa"/>
          </w:tcPr>
          <w:p w14:paraId="259FEDD1" w14:textId="1CF0AD9F" w:rsidR="007D6506" w:rsidRPr="0078693F" w:rsidRDefault="007D6506" w:rsidP="0078693F">
            <w:pPr>
              <w:ind w:right="-10"/>
              <w:rPr>
                <w:rFonts w:ascii="Verdana" w:hAnsi="Verdana"/>
                <w:color w:val="262626"/>
                <w:sz w:val="20"/>
                <w:szCs w:val="20"/>
              </w:rPr>
            </w:pPr>
            <w:r w:rsidRPr="0078693F">
              <w:rPr>
                <w:rFonts w:ascii="Verdana" w:hAnsi="Verdana"/>
                <w:color w:val="262626"/>
                <w:sz w:val="20"/>
                <w:szCs w:val="20"/>
              </w:rPr>
              <w:t>Special Education Parent Advisory Committee (SEPAC)</w:t>
            </w:r>
          </w:p>
        </w:tc>
        <w:tc>
          <w:tcPr>
            <w:tcW w:w="2201" w:type="dxa"/>
          </w:tcPr>
          <w:p w14:paraId="5B458792" w14:textId="0FC3806E" w:rsidR="007D6506" w:rsidRPr="0078693F" w:rsidRDefault="00B34117" w:rsidP="00B34117">
            <w:pPr>
              <w:ind w:right="-10"/>
              <w:rPr>
                <w:rFonts w:ascii="Verdana" w:hAnsi="Verdana"/>
                <w:color w:val="262626"/>
                <w:sz w:val="20"/>
                <w:szCs w:val="20"/>
              </w:rPr>
            </w:pPr>
            <w:r>
              <w:rPr>
                <w:rFonts w:ascii="Verdana" w:hAnsi="Verdana"/>
                <w:color w:val="262626"/>
                <w:sz w:val="20"/>
                <w:szCs w:val="20"/>
              </w:rPr>
              <w:t>Advise TEA on a variety of topics that impact families and children with disabilities</w:t>
            </w:r>
          </w:p>
        </w:tc>
        <w:tc>
          <w:tcPr>
            <w:tcW w:w="1440" w:type="dxa"/>
          </w:tcPr>
          <w:p w14:paraId="65B7D44A" w14:textId="07F877CC" w:rsidR="007D6506" w:rsidRPr="001D46A5" w:rsidRDefault="007D6506" w:rsidP="0078693F">
            <w:pPr>
              <w:pStyle w:val="BodyText"/>
              <w:ind w:right="-10" w:hanging="7"/>
              <w:jc w:val="center"/>
              <w:rPr>
                <w:rFonts w:ascii="Verdana" w:hAnsi="Verdana"/>
                <w:color w:val="262626"/>
                <w:sz w:val="20"/>
                <w:szCs w:val="20"/>
              </w:rPr>
            </w:pPr>
            <w:r w:rsidRPr="00493F7C">
              <w:rPr>
                <w:rFonts w:ascii="Verdana" w:hAnsi="Verdana"/>
                <w:color w:val="262626"/>
                <w:sz w:val="20"/>
                <w:szCs w:val="20"/>
              </w:rPr>
              <w:t>Bi-annually - Austin</w:t>
            </w:r>
          </w:p>
        </w:tc>
        <w:tc>
          <w:tcPr>
            <w:tcW w:w="4860" w:type="dxa"/>
          </w:tcPr>
          <w:p w14:paraId="037343CB" w14:textId="6CB05179" w:rsidR="007D6506" w:rsidRPr="001D46A5" w:rsidRDefault="007D6506" w:rsidP="001D46A5">
            <w:pPr>
              <w:pStyle w:val="BodyText"/>
              <w:ind w:right="-10" w:hanging="7"/>
              <w:rPr>
                <w:rFonts w:ascii="Verdana" w:hAnsi="Verdana"/>
                <w:color w:val="262626"/>
                <w:sz w:val="20"/>
                <w:szCs w:val="20"/>
              </w:rPr>
            </w:pPr>
            <w:r w:rsidRPr="0078693F">
              <w:rPr>
                <w:rFonts w:ascii="Verdana" w:hAnsi="Verdana"/>
                <w:color w:val="262626"/>
                <w:sz w:val="20"/>
                <w:szCs w:val="20"/>
              </w:rPr>
              <w:t>25 standing members who will serve for two years, with half of the membership to be replaced annually</w:t>
            </w:r>
            <w:r w:rsidRPr="001D46A5">
              <w:rPr>
                <w:rFonts w:ascii="Verdana" w:hAnsi="Verdana"/>
                <w:color w:val="262626"/>
                <w:sz w:val="20"/>
                <w:szCs w:val="20"/>
              </w:rPr>
              <w:t>. The membership will represent the state both geographically and demographically.</w:t>
            </w:r>
          </w:p>
        </w:tc>
      </w:tr>
      <w:tr w:rsidR="0034637A" w:rsidRPr="00E36351" w14:paraId="566F5EEA" w14:textId="77777777" w:rsidTr="0058659F">
        <w:trPr>
          <w:trHeight w:val="1102"/>
        </w:trPr>
        <w:tc>
          <w:tcPr>
            <w:tcW w:w="1849" w:type="dxa"/>
          </w:tcPr>
          <w:p w14:paraId="2DC2DE30" w14:textId="09E55755" w:rsidR="0034637A" w:rsidRPr="001D46A5" w:rsidRDefault="0034637A" w:rsidP="0034637A">
            <w:pPr>
              <w:ind w:right="-10"/>
              <w:rPr>
                <w:rFonts w:ascii="Verdana" w:hAnsi="Verdana"/>
                <w:color w:val="262626"/>
                <w:sz w:val="20"/>
                <w:szCs w:val="20"/>
              </w:rPr>
            </w:pPr>
            <w:r w:rsidRPr="001D46A5">
              <w:rPr>
                <w:rFonts w:ascii="Verdana" w:hAnsi="Verdana"/>
                <w:color w:val="262626"/>
                <w:sz w:val="20"/>
                <w:szCs w:val="20"/>
              </w:rPr>
              <w:t>Special Education Advocacy Community Roundtable (the Roundtable)</w:t>
            </w:r>
          </w:p>
        </w:tc>
        <w:tc>
          <w:tcPr>
            <w:tcW w:w="2201" w:type="dxa"/>
          </w:tcPr>
          <w:p w14:paraId="5A4A6520" w14:textId="1674B9E6" w:rsidR="0034637A" w:rsidRPr="001D46A5" w:rsidRDefault="0034637A" w:rsidP="0034637A">
            <w:pPr>
              <w:ind w:right="-10"/>
              <w:rPr>
                <w:rFonts w:ascii="Verdana" w:hAnsi="Verdana"/>
                <w:color w:val="262626"/>
                <w:sz w:val="20"/>
                <w:szCs w:val="20"/>
              </w:rPr>
            </w:pPr>
            <w:r>
              <w:rPr>
                <w:rFonts w:ascii="Verdana" w:hAnsi="Verdana"/>
                <w:color w:val="262626"/>
                <w:sz w:val="20"/>
                <w:szCs w:val="20"/>
              </w:rPr>
              <w:t>Advise TEA on a variety of topics that impact communities, programs, families, and students</w:t>
            </w:r>
          </w:p>
        </w:tc>
        <w:tc>
          <w:tcPr>
            <w:tcW w:w="1440" w:type="dxa"/>
          </w:tcPr>
          <w:p w14:paraId="418DAC4B" w14:textId="141FC5DB" w:rsidR="0034637A" w:rsidRPr="001D46A5" w:rsidRDefault="0034637A" w:rsidP="0034637A">
            <w:pPr>
              <w:pStyle w:val="BodyText"/>
              <w:ind w:left="-14" w:right="-10" w:hanging="7"/>
              <w:jc w:val="center"/>
              <w:rPr>
                <w:rFonts w:ascii="Verdana" w:hAnsi="Verdana"/>
                <w:color w:val="262626"/>
                <w:sz w:val="20"/>
                <w:szCs w:val="20"/>
              </w:rPr>
            </w:pPr>
            <w:r w:rsidRPr="001D46A5">
              <w:rPr>
                <w:rFonts w:ascii="Verdana" w:hAnsi="Verdana"/>
                <w:color w:val="262626"/>
                <w:sz w:val="20"/>
                <w:szCs w:val="20"/>
              </w:rPr>
              <w:t>Quarterly - Austin</w:t>
            </w:r>
          </w:p>
        </w:tc>
        <w:tc>
          <w:tcPr>
            <w:tcW w:w="4860" w:type="dxa"/>
          </w:tcPr>
          <w:p w14:paraId="27D2A0CB" w14:textId="1D7E4294" w:rsidR="0034637A" w:rsidRPr="001D46A5" w:rsidRDefault="0034637A" w:rsidP="0034637A">
            <w:pPr>
              <w:pStyle w:val="BodyText"/>
              <w:ind w:right="-10" w:hanging="7"/>
              <w:rPr>
                <w:rFonts w:ascii="Verdana" w:hAnsi="Verdana"/>
                <w:color w:val="262626"/>
                <w:sz w:val="20"/>
                <w:szCs w:val="20"/>
              </w:rPr>
            </w:pPr>
            <w:r w:rsidRPr="001D46A5">
              <w:rPr>
                <w:rFonts w:ascii="Verdana" w:hAnsi="Verdana"/>
                <w:color w:val="262626"/>
                <w:sz w:val="20"/>
                <w:szCs w:val="20"/>
              </w:rPr>
              <w:t>representing various perspectives within the special education community throughout Texas</w:t>
            </w:r>
          </w:p>
        </w:tc>
      </w:tr>
      <w:tr w:rsidR="0034637A" w:rsidRPr="00E36351" w14:paraId="2AD1857C" w14:textId="77777777" w:rsidTr="0058659F">
        <w:trPr>
          <w:trHeight w:val="1102"/>
        </w:trPr>
        <w:tc>
          <w:tcPr>
            <w:tcW w:w="1849" w:type="dxa"/>
          </w:tcPr>
          <w:p w14:paraId="37CBE4AC" w14:textId="22F37C38" w:rsidR="0034637A" w:rsidRPr="001D46A5" w:rsidRDefault="0034637A" w:rsidP="0034637A">
            <w:pPr>
              <w:ind w:right="-10"/>
              <w:rPr>
                <w:rFonts w:ascii="Verdana" w:hAnsi="Verdana"/>
                <w:color w:val="262626"/>
                <w:sz w:val="20"/>
                <w:szCs w:val="20"/>
              </w:rPr>
            </w:pPr>
            <w:r w:rsidRPr="001D46A5">
              <w:rPr>
                <w:rFonts w:ascii="Verdana" w:hAnsi="Verdana"/>
                <w:color w:val="262626"/>
                <w:sz w:val="20"/>
                <w:szCs w:val="20"/>
              </w:rPr>
              <w:t>Special Education Directors Council (SEDC)</w:t>
            </w:r>
          </w:p>
          <w:p w14:paraId="099928AD" w14:textId="48883965" w:rsidR="0034637A" w:rsidRPr="001D46A5" w:rsidRDefault="0034637A" w:rsidP="0034637A">
            <w:pPr>
              <w:pStyle w:val="BodyText"/>
              <w:spacing w:before="112" w:line="230" w:lineRule="auto"/>
              <w:ind w:right="-10"/>
              <w:rPr>
                <w:rFonts w:ascii="Verdana" w:hAnsi="Verdana"/>
                <w:color w:val="262626"/>
                <w:sz w:val="20"/>
                <w:szCs w:val="20"/>
              </w:rPr>
            </w:pPr>
          </w:p>
        </w:tc>
        <w:tc>
          <w:tcPr>
            <w:tcW w:w="2201" w:type="dxa"/>
          </w:tcPr>
          <w:p w14:paraId="3F32F489" w14:textId="170C783C" w:rsidR="0034637A" w:rsidRPr="001D46A5" w:rsidRDefault="0034637A" w:rsidP="0034637A">
            <w:pPr>
              <w:ind w:right="-10"/>
              <w:rPr>
                <w:rFonts w:ascii="Verdana" w:hAnsi="Verdana"/>
                <w:color w:val="262626"/>
                <w:sz w:val="20"/>
                <w:szCs w:val="20"/>
              </w:rPr>
            </w:pPr>
            <w:r>
              <w:rPr>
                <w:rFonts w:ascii="Verdana" w:hAnsi="Verdana"/>
                <w:color w:val="262626"/>
                <w:sz w:val="20"/>
                <w:szCs w:val="20"/>
              </w:rPr>
              <w:t>Advise TEA on a variety of topics that impact districts, programs, and students</w:t>
            </w:r>
          </w:p>
        </w:tc>
        <w:tc>
          <w:tcPr>
            <w:tcW w:w="1440" w:type="dxa"/>
          </w:tcPr>
          <w:p w14:paraId="2AE24E64" w14:textId="77777777" w:rsidR="0034637A" w:rsidRDefault="0034637A" w:rsidP="0034637A">
            <w:pPr>
              <w:pStyle w:val="BodyText"/>
              <w:ind w:left="-14" w:right="-10" w:hanging="7"/>
              <w:jc w:val="center"/>
              <w:rPr>
                <w:rFonts w:ascii="Verdana" w:hAnsi="Verdana"/>
                <w:color w:val="262626"/>
                <w:sz w:val="20"/>
                <w:szCs w:val="20"/>
              </w:rPr>
            </w:pPr>
            <w:r w:rsidRPr="001D46A5">
              <w:rPr>
                <w:rFonts w:ascii="Verdana" w:hAnsi="Verdana"/>
                <w:color w:val="262626"/>
                <w:sz w:val="20"/>
                <w:szCs w:val="20"/>
              </w:rPr>
              <w:t xml:space="preserve">Quarterly </w:t>
            </w:r>
            <w:r>
              <w:rPr>
                <w:rFonts w:ascii="Verdana" w:hAnsi="Verdana"/>
                <w:color w:val="262626"/>
                <w:sz w:val="20"/>
                <w:szCs w:val="20"/>
              </w:rPr>
              <w:t>–</w:t>
            </w:r>
            <w:r w:rsidRPr="001D46A5">
              <w:rPr>
                <w:rFonts w:ascii="Verdana" w:hAnsi="Verdana"/>
                <w:color w:val="262626"/>
                <w:sz w:val="20"/>
                <w:szCs w:val="20"/>
              </w:rPr>
              <w:t xml:space="preserve"> </w:t>
            </w:r>
          </w:p>
          <w:p w14:paraId="6986CF44" w14:textId="037E0C3A" w:rsidR="0034637A" w:rsidRPr="001D46A5" w:rsidRDefault="0034637A" w:rsidP="0034637A">
            <w:pPr>
              <w:pStyle w:val="BodyText"/>
              <w:ind w:left="-14" w:right="-10" w:hanging="7"/>
              <w:jc w:val="center"/>
              <w:rPr>
                <w:rFonts w:ascii="Verdana" w:hAnsi="Verdana"/>
                <w:color w:val="262626"/>
                <w:sz w:val="20"/>
                <w:szCs w:val="20"/>
              </w:rPr>
            </w:pPr>
            <w:r>
              <w:rPr>
                <w:rFonts w:ascii="Verdana" w:hAnsi="Verdana"/>
                <w:color w:val="262626"/>
                <w:sz w:val="20"/>
                <w:szCs w:val="20"/>
              </w:rPr>
              <w:t>Austin</w:t>
            </w:r>
          </w:p>
        </w:tc>
        <w:tc>
          <w:tcPr>
            <w:tcW w:w="4860" w:type="dxa"/>
          </w:tcPr>
          <w:p w14:paraId="53BA3D61" w14:textId="70C86228" w:rsidR="0034637A" w:rsidRPr="001D46A5" w:rsidRDefault="0034637A" w:rsidP="0034637A">
            <w:pPr>
              <w:pStyle w:val="BodyText"/>
              <w:ind w:left="-14" w:right="-10" w:hanging="7"/>
              <w:rPr>
                <w:rFonts w:ascii="Verdana" w:hAnsi="Verdana"/>
                <w:color w:val="262626"/>
                <w:sz w:val="20"/>
                <w:szCs w:val="20"/>
              </w:rPr>
            </w:pPr>
            <w:r w:rsidRPr="001D46A5">
              <w:rPr>
                <w:rFonts w:ascii="Verdana" w:hAnsi="Verdana"/>
                <w:color w:val="262626"/>
                <w:sz w:val="20"/>
                <w:szCs w:val="20"/>
              </w:rPr>
              <w:t>10 LEA directors of special education that represent geographic and demographic areas of the state e.g. large urban/suburban independent school districts (ISDs), medium-sized ISDs, small/rural ISDs, and charter schools</w:t>
            </w:r>
          </w:p>
        </w:tc>
      </w:tr>
    </w:tbl>
    <w:p w14:paraId="02E612AC" w14:textId="24F78524" w:rsidR="003E3266" w:rsidRDefault="003E3266" w:rsidP="00881CFE">
      <w:pPr>
        <w:ind w:left="180" w:right="470"/>
        <w:rPr>
          <w:rFonts w:ascii="Verdana" w:hAnsi="Verdana"/>
          <w:color w:val="262626"/>
          <w:sz w:val="20"/>
          <w:szCs w:val="20"/>
        </w:rPr>
      </w:pPr>
    </w:p>
    <w:p w14:paraId="3F2C4826" w14:textId="390D536F" w:rsidR="006821C7" w:rsidRPr="00493F7C" w:rsidRDefault="006821C7" w:rsidP="00493F7C">
      <w:pPr>
        <w:pStyle w:val="Heading2"/>
        <w:rPr>
          <w:b w:val="0"/>
        </w:rPr>
      </w:pPr>
      <w:r w:rsidRPr="00493F7C">
        <w:t>Virtual Town Hall Meetings/Webinars</w:t>
      </w:r>
    </w:p>
    <w:p w14:paraId="1B86419A" w14:textId="77777777" w:rsidR="002D5F22" w:rsidRDefault="00DE176F" w:rsidP="002D5F22">
      <w:pPr>
        <w:ind w:right="-10" w:hanging="6"/>
        <w:rPr>
          <w:rFonts w:ascii="Verdana" w:hAnsi="Verdana"/>
          <w:color w:val="4B4B4B"/>
          <w:sz w:val="20"/>
          <w:szCs w:val="20"/>
        </w:rPr>
      </w:pPr>
      <w:r>
        <w:rPr>
          <w:rFonts w:ascii="Verdana" w:hAnsi="Verdana"/>
          <w:color w:val="262626"/>
          <w:sz w:val="20"/>
          <w:szCs w:val="20"/>
        </w:rPr>
        <w:t>T</w:t>
      </w:r>
      <w:r w:rsidR="003D3E62" w:rsidRPr="00642799">
        <w:rPr>
          <w:rFonts w:ascii="Verdana" w:hAnsi="Verdana"/>
          <w:color w:val="262626"/>
          <w:sz w:val="20"/>
          <w:szCs w:val="20"/>
        </w:rPr>
        <w:t xml:space="preserve">o reach as broad an audience as possible TEA will host four virtual town halls </w:t>
      </w:r>
      <w:r>
        <w:rPr>
          <w:rFonts w:ascii="Verdana" w:hAnsi="Verdana"/>
          <w:color w:val="262626"/>
          <w:sz w:val="20"/>
          <w:szCs w:val="20"/>
        </w:rPr>
        <w:t>on</w:t>
      </w:r>
      <w:r w:rsidR="003D3E62" w:rsidRPr="00642799">
        <w:rPr>
          <w:rFonts w:ascii="Verdana" w:hAnsi="Verdana"/>
          <w:color w:val="262626"/>
          <w:sz w:val="20"/>
          <w:szCs w:val="20"/>
        </w:rPr>
        <w:t xml:space="preserve"> special education services and the Special Education Strategic Plan implementation</w:t>
      </w:r>
      <w:r>
        <w:rPr>
          <w:rFonts w:ascii="Verdana" w:hAnsi="Verdana"/>
          <w:color w:val="262626"/>
          <w:sz w:val="20"/>
          <w:szCs w:val="20"/>
        </w:rPr>
        <w:t xml:space="preserve"> u</w:t>
      </w:r>
      <w:r w:rsidRPr="00642799">
        <w:rPr>
          <w:rFonts w:ascii="Verdana" w:hAnsi="Verdana"/>
          <w:color w:val="262626"/>
          <w:sz w:val="20"/>
          <w:szCs w:val="20"/>
        </w:rPr>
        <w:t>sing a webinar platform</w:t>
      </w:r>
      <w:r>
        <w:rPr>
          <w:rFonts w:ascii="Verdana" w:hAnsi="Verdana"/>
          <w:color w:val="262626"/>
          <w:sz w:val="20"/>
          <w:szCs w:val="20"/>
        </w:rPr>
        <w:t xml:space="preserve">. </w:t>
      </w:r>
      <w:r w:rsidRPr="00642799">
        <w:rPr>
          <w:rFonts w:ascii="Verdana" w:hAnsi="Verdana"/>
          <w:color w:val="262626"/>
          <w:sz w:val="20"/>
          <w:szCs w:val="20"/>
        </w:rPr>
        <w:t xml:space="preserve"> </w:t>
      </w:r>
      <w:r w:rsidR="003D3E62" w:rsidRPr="00642799">
        <w:rPr>
          <w:rFonts w:ascii="Verdana" w:hAnsi="Verdana"/>
          <w:color w:val="262626"/>
          <w:sz w:val="20"/>
          <w:szCs w:val="20"/>
        </w:rPr>
        <w:t xml:space="preserve">Town halls will be held in </w:t>
      </w:r>
      <w:r>
        <w:rPr>
          <w:rFonts w:ascii="Verdana" w:hAnsi="Verdana"/>
          <w:color w:val="262626"/>
          <w:sz w:val="20"/>
          <w:szCs w:val="20"/>
        </w:rPr>
        <w:t xml:space="preserve">the evenings in </w:t>
      </w:r>
      <w:r w:rsidR="003D3E62" w:rsidRPr="00642799">
        <w:rPr>
          <w:rFonts w:ascii="Verdana" w:hAnsi="Verdana"/>
          <w:color w:val="262626"/>
          <w:sz w:val="20"/>
          <w:szCs w:val="20"/>
        </w:rPr>
        <w:t>October 2018, January 2019, March 2019, and June 2019</w:t>
      </w:r>
      <w:r>
        <w:rPr>
          <w:rFonts w:ascii="Verdana" w:hAnsi="Verdana"/>
          <w:color w:val="262626"/>
          <w:sz w:val="20"/>
          <w:szCs w:val="20"/>
        </w:rPr>
        <w:t xml:space="preserve"> and recorded so that they can be</w:t>
      </w:r>
      <w:r w:rsidR="003D3E62" w:rsidRPr="00642799">
        <w:rPr>
          <w:rFonts w:ascii="Verdana" w:hAnsi="Verdana"/>
          <w:color w:val="262626"/>
          <w:sz w:val="20"/>
          <w:szCs w:val="20"/>
        </w:rPr>
        <w:t xml:space="preserve"> available for viewin</w:t>
      </w:r>
      <w:r w:rsidR="003D3E62" w:rsidRPr="00642799">
        <w:rPr>
          <w:rFonts w:ascii="Verdana" w:hAnsi="Verdana"/>
          <w:color w:val="6B6B6B"/>
          <w:sz w:val="20"/>
          <w:szCs w:val="20"/>
        </w:rPr>
        <w:t xml:space="preserve">g </w:t>
      </w:r>
      <w:r>
        <w:rPr>
          <w:rFonts w:ascii="Verdana" w:hAnsi="Verdana"/>
          <w:color w:val="262626"/>
          <w:sz w:val="20"/>
          <w:szCs w:val="20"/>
        </w:rPr>
        <w:t>on</w:t>
      </w:r>
      <w:r w:rsidR="003D3E62" w:rsidRPr="00642799">
        <w:rPr>
          <w:rFonts w:ascii="Verdana" w:hAnsi="Verdana"/>
          <w:color w:val="262626"/>
          <w:sz w:val="20"/>
          <w:szCs w:val="20"/>
        </w:rPr>
        <w:t xml:space="preserve"> the TEA website. Specific dates for these town halls will be posted to the TEA webs</w:t>
      </w:r>
      <w:r w:rsidR="003D3E62" w:rsidRPr="00642799">
        <w:rPr>
          <w:rFonts w:ascii="Verdana" w:hAnsi="Verdana"/>
          <w:color w:val="4B4B4B"/>
          <w:sz w:val="20"/>
          <w:szCs w:val="20"/>
        </w:rPr>
        <w:t>i</w:t>
      </w:r>
      <w:r w:rsidR="003D3E62" w:rsidRPr="00642799">
        <w:rPr>
          <w:rFonts w:ascii="Verdana" w:hAnsi="Verdana"/>
          <w:color w:val="262626"/>
          <w:sz w:val="20"/>
          <w:szCs w:val="20"/>
        </w:rPr>
        <w:t xml:space="preserve">te along with participation information </w:t>
      </w:r>
      <w:r>
        <w:rPr>
          <w:rFonts w:ascii="Verdana" w:hAnsi="Verdana"/>
          <w:color w:val="262626"/>
          <w:sz w:val="20"/>
          <w:szCs w:val="20"/>
        </w:rPr>
        <w:t>as soon as they become available</w:t>
      </w:r>
      <w:r w:rsidR="003D3E62" w:rsidRPr="00642799">
        <w:rPr>
          <w:rFonts w:ascii="Verdana" w:hAnsi="Verdana"/>
          <w:color w:val="4B4B4B"/>
          <w:sz w:val="20"/>
          <w:szCs w:val="20"/>
        </w:rPr>
        <w:t>.</w:t>
      </w:r>
    </w:p>
    <w:p w14:paraId="0176849E" w14:textId="77777777" w:rsidR="002D5F22" w:rsidRDefault="002D5F22">
      <w:pPr>
        <w:rPr>
          <w:rFonts w:ascii="Verdana" w:hAnsi="Verdana"/>
          <w:color w:val="4B4B4B"/>
          <w:sz w:val="20"/>
          <w:szCs w:val="20"/>
        </w:rPr>
      </w:pPr>
      <w:r>
        <w:rPr>
          <w:rFonts w:ascii="Verdana" w:hAnsi="Verdana"/>
          <w:color w:val="4B4B4B"/>
          <w:sz w:val="20"/>
          <w:szCs w:val="20"/>
        </w:rPr>
        <w:br w:type="page"/>
      </w:r>
    </w:p>
    <w:p w14:paraId="22994141" w14:textId="6F49CF6E" w:rsidR="003D3E62" w:rsidRPr="00493F7C" w:rsidRDefault="003D3E62" w:rsidP="00493F7C">
      <w:pPr>
        <w:pStyle w:val="Heading2"/>
        <w:rPr>
          <w:b w:val="0"/>
        </w:rPr>
      </w:pPr>
      <w:r w:rsidRPr="00493F7C">
        <w:lastRenderedPageBreak/>
        <w:t>Surveys</w:t>
      </w:r>
    </w:p>
    <w:p w14:paraId="17006680" w14:textId="55F48883" w:rsidR="003D3E62" w:rsidRPr="00493F7C" w:rsidRDefault="003D3E62" w:rsidP="00493F7C">
      <w:pPr>
        <w:ind w:right="-10" w:hanging="6"/>
        <w:rPr>
          <w:color w:val="262626"/>
        </w:rPr>
      </w:pPr>
      <w:r w:rsidRPr="00642799">
        <w:rPr>
          <w:rFonts w:ascii="Verdana" w:hAnsi="Verdana"/>
          <w:color w:val="262626"/>
          <w:sz w:val="20"/>
          <w:szCs w:val="20"/>
        </w:rPr>
        <w:t>TEA wi</w:t>
      </w:r>
      <w:r w:rsidRPr="00493F7C">
        <w:rPr>
          <w:rFonts w:ascii="Verdana" w:hAnsi="Verdana"/>
          <w:color w:val="262626"/>
          <w:sz w:val="20"/>
          <w:szCs w:val="20"/>
        </w:rPr>
        <w:t xml:space="preserve">ll </w:t>
      </w:r>
      <w:r w:rsidRPr="00642799">
        <w:rPr>
          <w:rFonts w:ascii="Verdana" w:hAnsi="Verdana"/>
          <w:color w:val="262626"/>
          <w:sz w:val="20"/>
          <w:szCs w:val="20"/>
        </w:rPr>
        <w:t>administer two stakeholder surveys in the 2018- 2019 school year</w:t>
      </w:r>
      <w:r w:rsidR="00265E0B">
        <w:rPr>
          <w:rFonts w:ascii="Verdana" w:hAnsi="Verdana"/>
          <w:color w:val="262626"/>
          <w:sz w:val="20"/>
          <w:szCs w:val="20"/>
        </w:rPr>
        <w:t xml:space="preserve"> t</w:t>
      </w:r>
      <w:r w:rsidR="00265E0B" w:rsidRPr="00642799">
        <w:rPr>
          <w:rFonts w:ascii="Verdana" w:hAnsi="Verdana"/>
          <w:color w:val="262626"/>
          <w:sz w:val="20"/>
          <w:szCs w:val="20"/>
        </w:rPr>
        <w:t>o gain input from the larger special education community and to measure the impact realized by TEA's efforts to improve stakeholder engagement</w:t>
      </w:r>
      <w:r w:rsidR="00265E0B">
        <w:rPr>
          <w:rFonts w:ascii="Verdana" w:hAnsi="Verdana"/>
          <w:color w:val="262626"/>
          <w:sz w:val="20"/>
          <w:szCs w:val="20"/>
        </w:rPr>
        <w:t xml:space="preserve">.  </w:t>
      </w:r>
      <w:r w:rsidR="00265E0B" w:rsidRPr="00642799">
        <w:rPr>
          <w:rFonts w:ascii="Verdana" w:hAnsi="Verdana"/>
          <w:color w:val="262626"/>
          <w:sz w:val="20"/>
          <w:szCs w:val="20"/>
        </w:rPr>
        <w:t>One will be available in November 2018 with the other available in May of 2019.</w:t>
      </w:r>
      <w:r w:rsidR="00265E0B">
        <w:rPr>
          <w:rFonts w:ascii="Verdana" w:hAnsi="Verdana"/>
          <w:color w:val="262626"/>
          <w:sz w:val="20"/>
          <w:szCs w:val="20"/>
        </w:rPr>
        <w:t xml:space="preserve">  </w:t>
      </w:r>
      <w:r w:rsidRPr="00493F7C">
        <w:rPr>
          <w:rFonts w:ascii="Verdana" w:hAnsi="Verdana"/>
          <w:color w:val="262626"/>
          <w:sz w:val="20"/>
          <w:szCs w:val="20"/>
        </w:rPr>
        <w:t>Survey data will be aggregated and posted to the TEA website. Survey should be repeated at least twice annually thereafter.</w:t>
      </w:r>
    </w:p>
    <w:p w14:paraId="1A34C5E9" w14:textId="36C92DC4" w:rsidR="002C33EC" w:rsidRDefault="002C33EC" w:rsidP="00642799">
      <w:pPr>
        <w:ind w:left="120" w:hanging="9"/>
        <w:rPr>
          <w:rFonts w:ascii="Verdana" w:hAnsi="Verdana"/>
          <w:sz w:val="20"/>
          <w:szCs w:val="20"/>
        </w:rPr>
      </w:pPr>
    </w:p>
    <w:p w14:paraId="5EED7F29" w14:textId="175B040C" w:rsidR="00DE176F" w:rsidRPr="003B0CC3" w:rsidRDefault="00DE176F">
      <w:pPr>
        <w:pStyle w:val="Heading1"/>
        <w:ind w:left="0"/>
        <w:rPr>
          <w:spacing w:val="-2"/>
        </w:rPr>
      </w:pPr>
      <w:r w:rsidRPr="003B0CC3">
        <w:rPr>
          <w:spacing w:val="-2"/>
        </w:rPr>
        <w:t>Existing</w:t>
      </w:r>
      <w:r w:rsidR="007E7D76">
        <w:rPr>
          <w:spacing w:val="-2"/>
        </w:rPr>
        <w:t xml:space="preserve"> Stakeholder Engagement</w:t>
      </w:r>
      <w:r w:rsidRPr="003B0CC3">
        <w:rPr>
          <w:spacing w:val="-2"/>
        </w:rPr>
        <w:t xml:space="preserve"> Opportunit</w:t>
      </w:r>
      <w:r w:rsidR="0058659F">
        <w:rPr>
          <w:spacing w:val="-2"/>
        </w:rPr>
        <w:t>y</w:t>
      </w:r>
    </w:p>
    <w:p w14:paraId="46EC0004" w14:textId="77777777" w:rsidR="00787047" w:rsidRDefault="00787047" w:rsidP="002A3982">
      <w:pPr>
        <w:rPr>
          <w:rFonts w:ascii="Verdana" w:hAnsi="Verdana"/>
          <w:i/>
          <w:color w:val="262626"/>
          <w:sz w:val="20"/>
          <w:szCs w:val="20"/>
        </w:rPr>
      </w:pPr>
    </w:p>
    <w:p w14:paraId="11E987E4" w14:textId="14FBA403" w:rsidR="00260B01" w:rsidRPr="00493F7C" w:rsidRDefault="00260B01" w:rsidP="00493F7C">
      <w:pPr>
        <w:pStyle w:val="Heading2"/>
      </w:pPr>
      <w:r w:rsidRPr="00493F7C">
        <w:t>Continuing Advisory Committee for Special Education (CAC)</w:t>
      </w:r>
    </w:p>
    <w:p w14:paraId="735AEF12" w14:textId="255390DF" w:rsidR="00383FFB" w:rsidRPr="00493F7C" w:rsidRDefault="00787047" w:rsidP="00493F7C">
      <w:pPr>
        <w:ind w:right="-10" w:hanging="6"/>
        <w:rPr>
          <w:rFonts w:ascii="Verdana" w:hAnsi="Verdana"/>
          <w:color w:val="262626"/>
          <w:sz w:val="20"/>
          <w:szCs w:val="20"/>
        </w:rPr>
      </w:pPr>
      <w:r w:rsidRPr="00493F7C">
        <w:rPr>
          <w:rFonts w:ascii="Verdana" w:hAnsi="Verdana"/>
          <w:color w:val="262626"/>
          <w:sz w:val="20"/>
          <w:szCs w:val="20"/>
        </w:rPr>
        <w:t xml:space="preserve">The </w:t>
      </w:r>
      <w:r w:rsidR="00BB1AF3" w:rsidRPr="00493F7C">
        <w:rPr>
          <w:rFonts w:ascii="Verdana" w:hAnsi="Verdana"/>
          <w:color w:val="262626"/>
          <w:sz w:val="20"/>
          <w:szCs w:val="20"/>
        </w:rPr>
        <w:t xml:space="preserve">17-member </w:t>
      </w:r>
      <w:r w:rsidRPr="00493F7C">
        <w:rPr>
          <w:rFonts w:ascii="Verdana" w:hAnsi="Verdana"/>
          <w:color w:val="262626"/>
          <w:sz w:val="20"/>
          <w:szCs w:val="20"/>
        </w:rPr>
        <w:t xml:space="preserve">CAC is statutorily required under </w:t>
      </w:r>
      <w:r w:rsidR="00BB1AF3" w:rsidRPr="00493F7C">
        <w:rPr>
          <w:rFonts w:ascii="Verdana" w:hAnsi="Verdana"/>
          <w:color w:val="262626"/>
          <w:sz w:val="20"/>
          <w:szCs w:val="20"/>
        </w:rPr>
        <w:t xml:space="preserve">the </w:t>
      </w:r>
      <w:r w:rsidR="00BB1AF3" w:rsidRPr="00642799">
        <w:rPr>
          <w:rFonts w:ascii="Verdana" w:hAnsi="Verdana"/>
          <w:color w:val="262626"/>
          <w:sz w:val="20"/>
          <w:szCs w:val="20"/>
        </w:rPr>
        <w:t xml:space="preserve">Individuals with Disabilities Education Act (IDEA) </w:t>
      </w:r>
      <w:r w:rsidRPr="00493F7C">
        <w:rPr>
          <w:rFonts w:ascii="Verdana" w:hAnsi="Verdana"/>
          <w:color w:val="262626"/>
          <w:sz w:val="20"/>
          <w:szCs w:val="20"/>
        </w:rPr>
        <w:t>IDEA-B (PL 101-476) and Texas Education Code § 29.006</w:t>
      </w:r>
      <w:r w:rsidR="00BB1AF3" w:rsidRPr="00493F7C">
        <w:rPr>
          <w:rFonts w:ascii="Verdana" w:hAnsi="Verdana"/>
          <w:color w:val="262626"/>
          <w:sz w:val="20"/>
          <w:szCs w:val="20"/>
        </w:rPr>
        <w:t>.  It is directed to advise TEA on issues such as the unmet needs within the state in the education of children with disabilities, developing evaluations and reporting on data</w:t>
      </w:r>
      <w:r w:rsidR="00383FFB" w:rsidRPr="00493F7C">
        <w:rPr>
          <w:rFonts w:ascii="Verdana" w:hAnsi="Verdana"/>
          <w:color w:val="262626"/>
          <w:sz w:val="20"/>
          <w:szCs w:val="20"/>
        </w:rPr>
        <w:t>, and setting standards related to significant disproportionality determ</w:t>
      </w:r>
      <w:r w:rsidR="001B5362" w:rsidRPr="00493F7C">
        <w:rPr>
          <w:rFonts w:ascii="Verdana" w:hAnsi="Verdana"/>
          <w:color w:val="262626"/>
          <w:sz w:val="20"/>
          <w:szCs w:val="20"/>
        </w:rPr>
        <w:t>i</w:t>
      </w:r>
      <w:r w:rsidR="00383FFB" w:rsidRPr="00493F7C">
        <w:rPr>
          <w:rFonts w:ascii="Verdana" w:hAnsi="Verdana"/>
          <w:color w:val="262626"/>
          <w:sz w:val="20"/>
          <w:szCs w:val="20"/>
        </w:rPr>
        <w:t xml:space="preserve">nations.  The CAC provides the public an opportunity to speak at committee meetings and encourages that participation. </w:t>
      </w:r>
    </w:p>
    <w:p w14:paraId="7437A2C4" w14:textId="156C1F09" w:rsidR="001B5362" w:rsidRDefault="001B5362" w:rsidP="001B5362">
      <w:pPr>
        <w:rPr>
          <w:rFonts w:ascii="Verdana" w:eastAsiaTheme="majorEastAsia" w:hAnsi="Verdana" w:cstheme="majorBidi"/>
          <w:color w:val="262626"/>
          <w:sz w:val="20"/>
          <w:szCs w:val="20"/>
        </w:rPr>
      </w:pPr>
    </w:p>
    <w:p w14:paraId="43A8A004" w14:textId="651D5371" w:rsidR="001B5362" w:rsidRDefault="001B5362" w:rsidP="00395A74">
      <w:pPr>
        <w:pStyle w:val="BodyText"/>
      </w:pPr>
      <w:r w:rsidRPr="001D46A5">
        <w:rPr>
          <w:rFonts w:ascii="Verdana" w:hAnsi="Verdana"/>
          <w:color w:val="262626"/>
          <w:sz w:val="20"/>
          <w:szCs w:val="20"/>
        </w:rPr>
        <w:t xml:space="preserve">For more information on the CAC, its </w:t>
      </w:r>
      <w:r w:rsidR="000E36DF" w:rsidRPr="001D46A5">
        <w:rPr>
          <w:rFonts w:ascii="Verdana" w:hAnsi="Verdana"/>
          <w:color w:val="262626"/>
          <w:sz w:val="20"/>
          <w:szCs w:val="20"/>
        </w:rPr>
        <w:t xml:space="preserve">mandate, </w:t>
      </w:r>
      <w:r w:rsidRPr="001D46A5">
        <w:rPr>
          <w:rFonts w:ascii="Verdana" w:hAnsi="Verdana"/>
          <w:color w:val="262626"/>
          <w:sz w:val="20"/>
          <w:szCs w:val="20"/>
        </w:rPr>
        <w:t>membership, and meeting schedule</w:t>
      </w:r>
      <w:r w:rsidR="000E36DF" w:rsidRPr="001D46A5">
        <w:rPr>
          <w:rFonts w:ascii="Verdana" w:hAnsi="Verdana"/>
          <w:color w:val="262626"/>
          <w:sz w:val="20"/>
          <w:szCs w:val="20"/>
        </w:rPr>
        <w:t xml:space="preserve"> or </w:t>
      </w:r>
      <w:r w:rsidRPr="001D46A5">
        <w:rPr>
          <w:rFonts w:ascii="Verdana" w:hAnsi="Verdana"/>
          <w:color w:val="262626"/>
          <w:sz w:val="20"/>
          <w:szCs w:val="20"/>
        </w:rPr>
        <w:t xml:space="preserve">minutes, go to: </w:t>
      </w:r>
      <w:hyperlink r:id="rId8" w:tooltip="This is the link to the Continuing Advisory Committee" w:history="1">
        <w:r w:rsidRPr="001B5362">
          <w:rPr>
            <w:rStyle w:val="Hyperlink"/>
          </w:rPr>
          <w:t>Home / Academics / Special Student Populations / Special Education / Programs and Services/ Continuing Advisory Committee</w:t>
        </w:r>
      </w:hyperlink>
    </w:p>
    <w:p w14:paraId="2DC695B0" w14:textId="77777777" w:rsidR="00881CFE" w:rsidRPr="00642799" w:rsidRDefault="00881CFE" w:rsidP="00881CFE">
      <w:pPr>
        <w:pStyle w:val="BodyText"/>
        <w:rPr>
          <w:rFonts w:ascii="Verdana" w:hAnsi="Verdana"/>
          <w:i/>
          <w:sz w:val="20"/>
          <w:szCs w:val="20"/>
        </w:rPr>
      </w:pPr>
    </w:p>
    <w:p w14:paraId="55DB298D" w14:textId="4C22A5C1" w:rsidR="00260B01" w:rsidRPr="00260B01" w:rsidRDefault="00260B01" w:rsidP="00493F7C">
      <w:pPr>
        <w:ind w:hanging="9"/>
        <w:rPr>
          <w:rFonts w:ascii="Verdana" w:hAnsi="Verdana"/>
          <w:sz w:val="20"/>
          <w:szCs w:val="20"/>
        </w:rPr>
      </w:pPr>
    </w:p>
    <w:sectPr w:rsidR="00260B01" w:rsidRPr="00260B01" w:rsidSect="00F1702F">
      <w:pgSz w:w="12240" w:h="15840"/>
      <w:pgMar w:top="810" w:right="15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7AE8"/>
    <w:multiLevelType w:val="hybridMultilevel"/>
    <w:tmpl w:val="D64A4B3E"/>
    <w:lvl w:ilvl="0" w:tplc="E124A88C">
      <w:numFmt w:val="bullet"/>
      <w:lvlText w:val="•"/>
      <w:lvlJc w:val="left"/>
      <w:pPr>
        <w:ind w:left="837" w:hanging="360"/>
      </w:pPr>
      <w:rPr>
        <w:rFonts w:hint="default"/>
        <w:w w:val="77"/>
        <w:position w:val="2"/>
      </w:rPr>
    </w:lvl>
    <w:lvl w:ilvl="1" w:tplc="9B8A6978">
      <w:numFmt w:val="bullet"/>
      <w:lvlText w:val="•"/>
      <w:lvlJc w:val="left"/>
      <w:pPr>
        <w:ind w:left="1718" w:hanging="360"/>
      </w:pPr>
      <w:rPr>
        <w:rFonts w:hint="default"/>
      </w:rPr>
    </w:lvl>
    <w:lvl w:ilvl="2" w:tplc="B92ECF60">
      <w:numFmt w:val="bullet"/>
      <w:lvlText w:val="•"/>
      <w:lvlJc w:val="left"/>
      <w:pPr>
        <w:ind w:left="2596" w:hanging="360"/>
      </w:pPr>
      <w:rPr>
        <w:rFonts w:hint="default"/>
      </w:rPr>
    </w:lvl>
    <w:lvl w:ilvl="3" w:tplc="2014FF20">
      <w:numFmt w:val="bullet"/>
      <w:lvlText w:val="•"/>
      <w:lvlJc w:val="left"/>
      <w:pPr>
        <w:ind w:left="3474" w:hanging="360"/>
      </w:pPr>
      <w:rPr>
        <w:rFonts w:hint="default"/>
      </w:rPr>
    </w:lvl>
    <w:lvl w:ilvl="4" w:tplc="0B0E73D8">
      <w:numFmt w:val="bullet"/>
      <w:lvlText w:val="•"/>
      <w:lvlJc w:val="left"/>
      <w:pPr>
        <w:ind w:left="4352" w:hanging="360"/>
      </w:pPr>
      <w:rPr>
        <w:rFonts w:hint="default"/>
      </w:rPr>
    </w:lvl>
    <w:lvl w:ilvl="5" w:tplc="C938F3BC">
      <w:numFmt w:val="bullet"/>
      <w:lvlText w:val="•"/>
      <w:lvlJc w:val="left"/>
      <w:pPr>
        <w:ind w:left="5230" w:hanging="360"/>
      </w:pPr>
      <w:rPr>
        <w:rFonts w:hint="default"/>
      </w:rPr>
    </w:lvl>
    <w:lvl w:ilvl="6" w:tplc="09184944">
      <w:numFmt w:val="bullet"/>
      <w:lvlText w:val="•"/>
      <w:lvlJc w:val="left"/>
      <w:pPr>
        <w:ind w:left="6108" w:hanging="360"/>
      </w:pPr>
      <w:rPr>
        <w:rFonts w:hint="default"/>
      </w:rPr>
    </w:lvl>
    <w:lvl w:ilvl="7" w:tplc="0452F5FC">
      <w:numFmt w:val="bullet"/>
      <w:lvlText w:val="•"/>
      <w:lvlJc w:val="left"/>
      <w:pPr>
        <w:ind w:left="6986" w:hanging="360"/>
      </w:pPr>
      <w:rPr>
        <w:rFonts w:hint="default"/>
      </w:rPr>
    </w:lvl>
    <w:lvl w:ilvl="8" w:tplc="6F0ED628">
      <w:numFmt w:val="bullet"/>
      <w:lvlText w:val="•"/>
      <w:lvlJc w:val="left"/>
      <w:pPr>
        <w:ind w:left="7864" w:hanging="360"/>
      </w:pPr>
      <w:rPr>
        <w:rFonts w:hint="default"/>
      </w:rPr>
    </w:lvl>
  </w:abstractNum>
  <w:abstractNum w:abstractNumId="1" w15:restartNumberingAfterBreak="0">
    <w:nsid w:val="6F414DB0"/>
    <w:multiLevelType w:val="hybridMultilevel"/>
    <w:tmpl w:val="810294CC"/>
    <w:lvl w:ilvl="0" w:tplc="12CA3BEC">
      <w:numFmt w:val="bullet"/>
      <w:lvlText w:val="•"/>
      <w:lvlJc w:val="left"/>
      <w:pPr>
        <w:ind w:left="872" w:hanging="358"/>
      </w:pPr>
      <w:rPr>
        <w:rFonts w:ascii="Arial" w:eastAsia="Arial" w:hAnsi="Arial" w:cs="Arial" w:hint="default"/>
        <w:color w:val="242424"/>
        <w:w w:val="105"/>
        <w:sz w:val="19"/>
        <w:szCs w:val="19"/>
      </w:rPr>
    </w:lvl>
    <w:lvl w:ilvl="1" w:tplc="16562F6A">
      <w:numFmt w:val="bullet"/>
      <w:lvlText w:val="•"/>
      <w:lvlJc w:val="left"/>
      <w:pPr>
        <w:ind w:left="1284" w:hanging="375"/>
      </w:pPr>
      <w:rPr>
        <w:rFonts w:ascii="Arial" w:eastAsia="Arial" w:hAnsi="Arial" w:cs="Arial" w:hint="default"/>
        <w:color w:val="262626"/>
        <w:w w:val="92"/>
        <w:sz w:val="20"/>
        <w:szCs w:val="20"/>
      </w:rPr>
    </w:lvl>
    <w:lvl w:ilvl="2" w:tplc="7754409C">
      <w:numFmt w:val="bullet"/>
      <w:lvlText w:val="•"/>
      <w:lvlJc w:val="left"/>
      <w:pPr>
        <w:ind w:left="2286" w:hanging="375"/>
      </w:pPr>
      <w:rPr>
        <w:rFonts w:hint="default"/>
      </w:rPr>
    </w:lvl>
    <w:lvl w:ilvl="3" w:tplc="0F186EB2">
      <w:numFmt w:val="bullet"/>
      <w:lvlText w:val="•"/>
      <w:lvlJc w:val="left"/>
      <w:pPr>
        <w:ind w:left="3293" w:hanging="375"/>
      </w:pPr>
      <w:rPr>
        <w:rFonts w:hint="default"/>
      </w:rPr>
    </w:lvl>
    <w:lvl w:ilvl="4" w:tplc="44668F2C">
      <w:numFmt w:val="bullet"/>
      <w:lvlText w:val="•"/>
      <w:lvlJc w:val="left"/>
      <w:pPr>
        <w:ind w:left="4300" w:hanging="375"/>
      </w:pPr>
      <w:rPr>
        <w:rFonts w:hint="default"/>
      </w:rPr>
    </w:lvl>
    <w:lvl w:ilvl="5" w:tplc="FB08044A">
      <w:numFmt w:val="bullet"/>
      <w:lvlText w:val="•"/>
      <w:lvlJc w:val="left"/>
      <w:pPr>
        <w:ind w:left="5306" w:hanging="375"/>
      </w:pPr>
      <w:rPr>
        <w:rFonts w:hint="default"/>
      </w:rPr>
    </w:lvl>
    <w:lvl w:ilvl="6" w:tplc="E5045774">
      <w:numFmt w:val="bullet"/>
      <w:lvlText w:val="•"/>
      <w:lvlJc w:val="left"/>
      <w:pPr>
        <w:ind w:left="6313" w:hanging="375"/>
      </w:pPr>
      <w:rPr>
        <w:rFonts w:hint="default"/>
      </w:rPr>
    </w:lvl>
    <w:lvl w:ilvl="7" w:tplc="75CC9C70">
      <w:numFmt w:val="bullet"/>
      <w:lvlText w:val="•"/>
      <w:lvlJc w:val="left"/>
      <w:pPr>
        <w:ind w:left="7320" w:hanging="375"/>
      </w:pPr>
      <w:rPr>
        <w:rFonts w:hint="default"/>
      </w:rPr>
    </w:lvl>
    <w:lvl w:ilvl="8" w:tplc="E348F8D0">
      <w:numFmt w:val="bullet"/>
      <w:lvlText w:val="•"/>
      <w:lvlJc w:val="left"/>
      <w:pPr>
        <w:ind w:left="8326" w:hanging="375"/>
      </w:pPr>
      <w:rPr>
        <w:rFonts w:hint="default"/>
      </w:rPr>
    </w:lvl>
  </w:abstractNum>
  <w:abstractNum w:abstractNumId="2" w15:restartNumberingAfterBreak="0">
    <w:nsid w:val="7D3D72A1"/>
    <w:multiLevelType w:val="hybridMultilevel"/>
    <w:tmpl w:val="AC80228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0B"/>
    <w:rsid w:val="000561C0"/>
    <w:rsid w:val="00077199"/>
    <w:rsid w:val="000C4D05"/>
    <w:rsid w:val="000E36DF"/>
    <w:rsid w:val="001B5362"/>
    <w:rsid w:val="001D46A5"/>
    <w:rsid w:val="001F3188"/>
    <w:rsid w:val="00260B01"/>
    <w:rsid w:val="00265E0B"/>
    <w:rsid w:val="002A3982"/>
    <w:rsid w:val="002C33EC"/>
    <w:rsid w:val="002D5F22"/>
    <w:rsid w:val="002E087E"/>
    <w:rsid w:val="003108C5"/>
    <w:rsid w:val="00331626"/>
    <w:rsid w:val="0034637A"/>
    <w:rsid w:val="00383FFB"/>
    <w:rsid w:val="00395A74"/>
    <w:rsid w:val="003A1825"/>
    <w:rsid w:val="003B0CC3"/>
    <w:rsid w:val="003C1824"/>
    <w:rsid w:val="003D3E62"/>
    <w:rsid w:val="003E3266"/>
    <w:rsid w:val="00453585"/>
    <w:rsid w:val="00470676"/>
    <w:rsid w:val="00493F7C"/>
    <w:rsid w:val="0058659F"/>
    <w:rsid w:val="00642799"/>
    <w:rsid w:val="00647008"/>
    <w:rsid w:val="006821C7"/>
    <w:rsid w:val="006D2F8F"/>
    <w:rsid w:val="00702543"/>
    <w:rsid w:val="00721020"/>
    <w:rsid w:val="00727CD5"/>
    <w:rsid w:val="0073253B"/>
    <w:rsid w:val="0074430F"/>
    <w:rsid w:val="0078693F"/>
    <w:rsid w:val="00787047"/>
    <w:rsid w:val="007D6506"/>
    <w:rsid w:val="007E7D76"/>
    <w:rsid w:val="00881CFE"/>
    <w:rsid w:val="008A0B1A"/>
    <w:rsid w:val="008C5038"/>
    <w:rsid w:val="008D7ACC"/>
    <w:rsid w:val="009A1446"/>
    <w:rsid w:val="00A03B2E"/>
    <w:rsid w:val="00A93787"/>
    <w:rsid w:val="00AB3EC9"/>
    <w:rsid w:val="00B11F0B"/>
    <w:rsid w:val="00B34117"/>
    <w:rsid w:val="00BB1AF3"/>
    <w:rsid w:val="00DE176F"/>
    <w:rsid w:val="00E36351"/>
    <w:rsid w:val="00F1702F"/>
    <w:rsid w:val="00F43210"/>
    <w:rsid w:val="00F4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A7E"/>
  <w15:docId w15:val="{807F8CE4-38C8-4CAA-B2DC-B9E82EDC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DE176F"/>
    <w:pPr>
      <w:spacing w:before="75" w:line="276" w:lineRule="auto"/>
      <w:ind w:left="120" w:hanging="9"/>
      <w:outlineLvl w:val="0"/>
    </w:pPr>
    <w:rPr>
      <w:rFonts w:ascii="Verdana" w:hAnsi="Verdana"/>
      <w:b/>
      <w:u w:val="single"/>
    </w:rPr>
  </w:style>
  <w:style w:type="paragraph" w:styleId="Heading2">
    <w:name w:val="heading 2"/>
    <w:basedOn w:val="Normal"/>
    <w:next w:val="Normal"/>
    <w:link w:val="Heading2Char"/>
    <w:uiPriority w:val="9"/>
    <w:unhideWhenUsed/>
    <w:qFormat/>
    <w:rsid w:val="00453585"/>
    <w:pPr>
      <w:outlineLvl w:val="1"/>
    </w:pPr>
    <w:rPr>
      <w:rFonts w:ascii="Verdana" w:hAnsi="Verdana"/>
      <w:b/>
      <w:color w:val="131313"/>
      <w:sz w:val="20"/>
      <w:szCs w:val="20"/>
    </w:rPr>
  </w:style>
  <w:style w:type="paragraph" w:styleId="Heading3">
    <w:name w:val="heading 3"/>
    <w:basedOn w:val="Normal"/>
    <w:next w:val="Normal"/>
    <w:link w:val="Heading3Char"/>
    <w:uiPriority w:val="9"/>
    <w:semiHidden/>
    <w:unhideWhenUsed/>
    <w:qFormat/>
    <w:rsid w:val="00F432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9"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4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0F"/>
    <w:rPr>
      <w:rFonts w:ascii="Segoe UI" w:eastAsia="Calibri" w:hAnsi="Segoe UI" w:cs="Segoe UI"/>
      <w:sz w:val="18"/>
      <w:szCs w:val="18"/>
    </w:rPr>
  </w:style>
  <w:style w:type="character" w:customStyle="1" w:styleId="Heading1Char">
    <w:name w:val="Heading 1 Char"/>
    <w:basedOn w:val="DefaultParagraphFont"/>
    <w:link w:val="Heading1"/>
    <w:uiPriority w:val="9"/>
    <w:rsid w:val="00DE176F"/>
    <w:rPr>
      <w:rFonts w:ascii="Verdana" w:eastAsia="Calibri" w:hAnsi="Verdana" w:cs="Calibri"/>
      <w:b/>
      <w:u w:val="single"/>
    </w:rPr>
  </w:style>
  <w:style w:type="table" w:styleId="TableGrid">
    <w:name w:val="Table Grid"/>
    <w:basedOn w:val="TableNormal"/>
    <w:uiPriority w:val="39"/>
    <w:rsid w:val="00E3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3585"/>
    <w:rPr>
      <w:rFonts w:ascii="Verdana" w:eastAsia="Calibri" w:hAnsi="Verdana" w:cs="Calibri"/>
      <w:b/>
      <w:color w:val="131313"/>
      <w:sz w:val="20"/>
      <w:szCs w:val="20"/>
    </w:rPr>
  </w:style>
  <w:style w:type="character" w:customStyle="1" w:styleId="Heading3Char">
    <w:name w:val="Heading 3 Char"/>
    <w:basedOn w:val="DefaultParagraphFont"/>
    <w:link w:val="Heading3"/>
    <w:uiPriority w:val="9"/>
    <w:semiHidden/>
    <w:rsid w:val="00F4321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02543"/>
    <w:rPr>
      <w:sz w:val="16"/>
      <w:szCs w:val="16"/>
    </w:rPr>
  </w:style>
  <w:style w:type="paragraph" w:styleId="CommentText">
    <w:name w:val="annotation text"/>
    <w:basedOn w:val="Normal"/>
    <w:link w:val="CommentTextChar"/>
    <w:uiPriority w:val="99"/>
    <w:semiHidden/>
    <w:unhideWhenUsed/>
    <w:rsid w:val="00702543"/>
    <w:rPr>
      <w:sz w:val="20"/>
      <w:szCs w:val="20"/>
    </w:rPr>
  </w:style>
  <w:style w:type="character" w:customStyle="1" w:styleId="CommentTextChar">
    <w:name w:val="Comment Text Char"/>
    <w:basedOn w:val="DefaultParagraphFont"/>
    <w:link w:val="CommentText"/>
    <w:uiPriority w:val="99"/>
    <w:semiHidden/>
    <w:rsid w:val="0070254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2543"/>
    <w:rPr>
      <w:b/>
      <w:bCs/>
    </w:rPr>
  </w:style>
  <w:style w:type="character" w:customStyle="1" w:styleId="CommentSubjectChar">
    <w:name w:val="Comment Subject Char"/>
    <w:basedOn w:val="CommentTextChar"/>
    <w:link w:val="CommentSubject"/>
    <w:uiPriority w:val="99"/>
    <w:semiHidden/>
    <w:rsid w:val="00702543"/>
    <w:rPr>
      <w:rFonts w:ascii="Calibri" w:eastAsia="Calibri" w:hAnsi="Calibri" w:cs="Calibri"/>
      <w:b/>
      <w:bCs/>
      <w:sz w:val="20"/>
      <w:szCs w:val="20"/>
    </w:rPr>
  </w:style>
  <w:style w:type="paragraph" w:styleId="HTMLPreformatted">
    <w:name w:val="HTML Preformatted"/>
    <w:basedOn w:val="Normal"/>
    <w:link w:val="HTMLPreformattedChar"/>
    <w:uiPriority w:val="99"/>
    <w:semiHidden/>
    <w:unhideWhenUsed/>
    <w:rsid w:val="00BB1A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AF3"/>
    <w:rPr>
      <w:rFonts w:ascii="Courier New" w:eastAsia="Times New Roman" w:hAnsi="Courier New" w:cs="Courier New"/>
      <w:sz w:val="20"/>
      <w:szCs w:val="20"/>
    </w:rPr>
  </w:style>
  <w:style w:type="character" w:styleId="Hyperlink">
    <w:name w:val="Hyperlink"/>
    <w:basedOn w:val="DefaultParagraphFont"/>
    <w:uiPriority w:val="99"/>
    <w:unhideWhenUsed/>
    <w:rsid w:val="00BB1AF3"/>
    <w:rPr>
      <w:color w:val="0000FF" w:themeColor="hyperlink"/>
      <w:u w:val="single"/>
    </w:rPr>
  </w:style>
  <w:style w:type="character" w:customStyle="1" w:styleId="UnresolvedMention1">
    <w:name w:val="Unresolved Mention1"/>
    <w:basedOn w:val="DefaultParagraphFont"/>
    <w:uiPriority w:val="99"/>
    <w:semiHidden/>
    <w:unhideWhenUsed/>
    <w:rsid w:val="00BB1AF3"/>
    <w:rPr>
      <w:color w:val="605E5C"/>
      <w:shd w:val="clear" w:color="auto" w:fill="E1DFDD"/>
    </w:rPr>
  </w:style>
  <w:style w:type="paragraph" w:customStyle="1" w:styleId="breadcrumb">
    <w:name w:val="breadcrumb"/>
    <w:basedOn w:val="Normal"/>
    <w:rsid w:val="001B536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93F7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2940">
      <w:bodyDiv w:val="1"/>
      <w:marLeft w:val="0"/>
      <w:marRight w:val="0"/>
      <w:marTop w:val="0"/>
      <w:marBottom w:val="0"/>
      <w:divBdr>
        <w:top w:val="none" w:sz="0" w:space="0" w:color="auto"/>
        <w:left w:val="none" w:sz="0" w:space="0" w:color="auto"/>
        <w:bottom w:val="none" w:sz="0" w:space="0" w:color="auto"/>
        <w:right w:val="none" w:sz="0" w:space="0" w:color="auto"/>
      </w:divBdr>
      <w:divsChild>
        <w:div w:id="359011206">
          <w:marLeft w:val="0"/>
          <w:marRight w:val="0"/>
          <w:marTop w:val="0"/>
          <w:marBottom w:val="0"/>
          <w:divBdr>
            <w:top w:val="none" w:sz="0" w:space="0" w:color="auto"/>
            <w:left w:val="none" w:sz="0" w:space="0" w:color="auto"/>
            <w:bottom w:val="none" w:sz="0" w:space="0" w:color="auto"/>
            <w:right w:val="none" w:sz="0" w:space="0" w:color="auto"/>
          </w:divBdr>
        </w:div>
      </w:divsChild>
    </w:div>
    <w:div w:id="85461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index2.aspx?id=214749673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759591CB3784C9B11C65E24520DF5" ma:contentTypeVersion="3" ma:contentTypeDescription="Create a new document." ma:contentTypeScope="" ma:versionID="89a359c06a66f627c96ff78422e47fe2">
  <xsd:schema xmlns:xsd="http://www.w3.org/2001/XMLSchema" xmlns:xs="http://www.w3.org/2001/XMLSchema" xmlns:p="http://schemas.microsoft.com/office/2006/metadata/properties" xmlns:ns2="30ecb28b-fbc9-4cf4-87a5-ca001ace1bd7" xmlns:ns3="http://schemas.microsoft.com/sharepoint/v3/fields" xmlns:ns4="http://schemas.microsoft.com/sharepoint/v4" xmlns:ns5="ab2529b1-816d-4279-af92-5b041f24b5f5" targetNamespace="http://schemas.microsoft.com/office/2006/metadata/properties" ma:root="true" ma:fieldsID="ad33d27746490e6375486f8694191a3b" ns2:_="" ns3:_="" ns4:_="" ns5:_="">
    <xsd:import namespace="30ecb28b-fbc9-4cf4-87a5-ca001ace1bd7"/>
    <xsd:import namespace="http://schemas.microsoft.com/sharepoint/v3/fields"/>
    <xsd:import namespace="http://schemas.microsoft.com/sharepoint/v4"/>
    <xsd:import namespace="ab2529b1-816d-4279-af92-5b041f24b5f5"/>
    <xsd:element name="properties">
      <xsd:complexType>
        <xsd:sequence>
          <xsd:element name="documentManagement">
            <xsd:complexType>
              <xsd:all>
                <xsd:element ref="ns2:MediaServiceMetadata" minOccurs="0"/>
                <xsd:element ref="ns2:MediaServiceFastMetadata" minOccurs="0"/>
                <xsd:element ref="ns3:_Version"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b28b-fbc9-4cf4-87a5-ca001ace1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529b1-816d-4279-af92-5b041f24b5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321C1-11FA-4C18-86DB-A1B168A6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cb28b-fbc9-4cf4-87a5-ca001ace1bd7"/>
    <ds:schemaRef ds:uri="http://schemas.microsoft.com/sharepoint/v3/fields"/>
    <ds:schemaRef ds:uri="http://schemas.microsoft.com/sharepoint/v4"/>
    <ds:schemaRef ds:uri="ab2529b1-816d-4279-af92-5b041f24b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F203D-4ADD-4EBD-BC7A-4BC276F8B66D}">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2377DB67-A5C6-47E1-8799-CB09F611D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Serna, Sandra</dc:creator>
  <cp:keywords/>
  <dc:description/>
  <cp:lastModifiedBy>Hollingsworth, Derek</cp:lastModifiedBy>
  <cp:revision>2</cp:revision>
  <dcterms:created xsi:type="dcterms:W3CDTF">2018-07-02T19:40:00Z</dcterms:created>
  <dcterms:modified xsi:type="dcterms:W3CDTF">2018-07-02T19:40:00Z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Xerox AltaLink C8045</vt:lpwstr>
  </property>
  <property fmtid="{D5CDD505-2E9C-101B-9397-08002B2CF9AE}" pid="4" name="LastSaved">
    <vt:filetime>2018-06-28T00:00:00Z</vt:filetime>
  </property>
  <property fmtid="{D5CDD505-2E9C-101B-9397-08002B2CF9AE}" pid="5" name="ContentTypeId">
    <vt:lpwstr>0x010100627759591CB3784C9B11C65E24520DF5</vt:lpwstr>
  </property>
</Properties>
</file>