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46" w:rsidRDefault="001C1946">
      <w:pPr>
        <w:jc w:val="right"/>
        <w:rPr>
          <w:b/>
          <w:sz w:val="32"/>
        </w:rPr>
      </w:pPr>
      <w:r>
        <w:rPr>
          <w:b/>
          <w:sz w:val="32"/>
        </w:rPr>
        <w:t>September 2001</w:t>
      </w:r>
    </w:p>
    <w:p w:rsidR="001C1946" w:rsidRDefault="001C1946">
      <w:pPr>
        <w:jc w:val="center"/>
        <w:rPr>
          <w:b/>
          <w:sz w:val="28"/>
        </w:rPr>
      </w:pPr>
    </w:p>
    <w:p w:rsidR="001C1946" w:rsidRDefault="001C1946">
      <w:pPr>
        <w:jc w:val="center"/>
        <w:rPr>
          <w:b/>
          <w:sz w:val="28"/>
        </w:rPr>
      </w:pPr>
    </w:p>
    <w:p w:rsidR="001C1946" w:rsidRDefault="001C1946">
      <w:pPr>
        <w:jc w:val="center"/>
        <w:rPr>
          <w:b/>
          <w:sz w:val="28"/>
        </w:rPr>
      </w:pPr>
    </w:p>
    <w:p w:rsidR="001C1946" w:rsidRDefault="001C1946">
      <w:pPr>
        <w:jc w:val="center"/>
        <w:rPr>
          <w:b/>
          <w:sz w:val="28"/>
        </w:rPr>
      </w:pPr>
    </w:p>
    <w:p w:rsidR="001C1946" w:rsidRDefault="001C1946">
      <w:pPr>
        <w:pStyle w:val="Heading1"/>
      </w:pPr>
      <w:r>
        <w:t>School of Urban</w:t>
      </w:r>
    </w:p>
    <w:p w:rsidR="001C1946" w:rsidRDefault="001C1946">
      <w:pPr>
        <w:jc w:val="right"/>
        <w:rPr>
          <w:sz w:val="28"/>
        </w:rPr>
      </w:pPr>
      <w:proofErr w:type="gramStart"/>
      <w:r>
        <w:rPr>
          <w:sz w:val="28"/>
        </w:rPr>
        <w:t>and</w:t>
      </w:r>
      <w:proofErr w:type="gramEnd"/>
      <w:r>
        <w:rPr>
          <w:sz w:val="28"/>
        </w:rPr>
        <w:t xml:space="preserve"> Public Affairs</w:t>
      </w:r>
    </w:p>
    <w:p w:rsidR="001C1946" w:rsidRDefault="001C1946">
      <w:pPr>
        <w:pBdr>
          <w:top w:val="single" w:sz="4" w:space="1" w:color="auto"/>
        </w:pBdr>
        <w:jc w:val="right"/>
        <w:rPr>
          <w:sz w:val="28"/>
        </w:rPr>
      </w:pPr>
      <w:r>
        <w:rPr>
          <w:sz w:val="28"/>
        </w:rPr>
        <w:t>University of Texas</w:t>
      </w:r>
    </w:p>
    <w:p w:rsidR="001C1946" w:rsidRDefault="001C1946">
      <w:pPr>
        <w:jc w:val="right"/>
        <w:rPr>
          <w:sz w:val="28"/>
        </w:rPr>
      </w:pPr>
      <w:proofErr w:type="gramStart"/>
      <w:r>
        <w:rPr>
          <w:sz w:val="28"/>
        </w:rPr>
        <w:t>at</w:t>
      </w:r>
      <w:proofErr w:type="gramEnd"/>
      <w:r>
        <w:rPr>
          <w:sz w:val="28"/>
        </w:rPr>
        <w:t xml:space="preserve"> Arlington</w:t>
      </w:r>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r>
        <w:rPr>
          <w:sz w:val="28"/>
        </w:rPr>
        <w:t>Center for the</w:t>
      </w:r>
    </w:p>
    <w:p w:rsidR="001C1946" w:rsidRDefault="001C1946">
      <w:pPr>
        <w:jc w:val="right"/>
        <w:rPr>
          <w:sz w:val="28"/>
        </w:rPr>
      </w:pPr>
      <w:r>
        <w:rPr>
          <w:sz w:val="28"/>
        </w:rPr>
        <w:t>Study of Education</w:t>
      </w:r>
    </w:p>
    <w:p w:rsidR="001C1946" w:rsidRDefault="001C1946">
      <w:pPr>
        <w:jc w:val="right"/>
        <w:rPr>
          <w:sz w:val="28"/>
        </w:rPr>
      </w:pPr>
      <w:r>
        <w:rPr>
          <w:sz w:val="28"/>
        </w:rPr>
        <w:t>Reform</w:t>
      </w:r>
    </w:p>
    <w:p w:rsidR="001C1946" w:rsidRDefault="001C1946">
      <w:pPr>
        <w:pBdr>
          <w:top w:val="single" w:sz="4" w:space="1" w:color="auto"/>
        </w:pBdr>
        <w:jc w:val="right"/>
        <w:rPr>
          <w:sz w:val="28"/>
        </w:rPr>
      </w:pPr>
      <w:r>
        <w:rPr>
          <w:sz w:val="28"/>
        </w:rPr>
        <w:t>University of</w:t>
      </w:r>
    </w:p>
    <w:p w:rsidR="001C1946" w:rsidRDefault="001C1946">
      <w:pPr>
        <w:jc w:val="right"/>
        <w:rPr>
          <w:sz w:val="28"/>
        </w:rPr>
      </w:pPr>
      <w:smartTag w:uri="urn:schemas-microsoft-com:office:smarttags" w:element="place">
        <w:r>
          <w:rPr>
            <w:sz w:val="28"/>
          </w:rPr>
          <w:t>North Texas</w:t>
        </w:r>
      </w:smartTag>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r>
        <w:rPr>
          <w:sz w:val="28"/>
        </w:rPr>
        <w:t>Center for</w:t>
      </w:r>
    </w:p>
    <w:p w:rsidR="001C1946" w:rsidRDefault="001C1946">
      <w:pPr>
        <w:jc w:val="right"/>
        <w:rPr>
          <w:sz w:val="28"/>
        </w:rPr>
      </w:pPr>
      <w:r>
        <w:rPr>
          <w:sz w:val="28"/>
        </w:rPr>
        <w:t>Public Policy</w:t>
      </w:r>
    </w:p>
    <w:p w:rsidR="001C1946" w:rsidRDefault="001C1946">
      <w:pPr>
        <w:pBdr>
          <w:top w:val="single" w:sz="4" w:space="1" w:color="auto"/>
        </w:pBdr>
        <w:jc w:val="right"/>
        <w:rPr>
          <w:sz w:val="28"/>
        </w:rPr>
      </w:pPr>
      <w:r>
        <w:rPr>
          <w:sz w:val="28"/>
        </w:rPr>
        <w:t>University of</w:t>
      </w:r>
    </w:p>
    <w:p w:rsidR="001C1946" w:rsidRDefault="001C1946">
      <w:pPr>
        <w:jc w:val="right"/>
        <w:rPr>
          <w:sz w:val="28"/>
        </w:rPr>
      </w:pPr>
      <w:smartTag w:uri="urn:schemas-microsoft-com:office:smarttags" w:element="City">
        <w:smartTag w:uri="urn:schemas-microsoft-com:office:smarttags" w:element="place">
          <w:r>
            <w:rPr>
              <w:sz w:val="28"/>
            </w:rPr>
            <w:t>Houston</w:t>
          </w:r>
        </w:smartTag>
      </w:smartTag>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p>
    <w:p w:rsidR="001C1946" w:rsidRDefault="001C1946">
      <w:pPr>
        <w:jc w:val="right"/>
        <w:rPr>
          <w:sz w:val="28"/>
        </w:rPr>
      </w:pPr>
      <w:smartTag w:uri="urn:schemas-microsoft-com:office:smarttags" w:element="place">
        <w:smartTag w:uri="urn:schemas-microsoft-com:office:smarttags" w:element="PlaceName">
          <w:r>
            <w:rPr>
              <w:sz w:val="28"/>
            </w:rPr>
            <w:t>Texas</w:t>
          </w:r>
        </w:smartTag>
        <w:r>
          <w:rPr>
            <w:sz w:val="28"/>
          </w:rPr>
          <w:t xml:space="preserve"> </w:t>
        </w:r>
        <w:smartTag w:uri="urn:schemas-microsoft-com:office:smarttags" w:element="PlaceType">
          <w:r>
            <w:rPr>
              <w:sz w:val="28"/>
            </w:rPr>
            <w:t>Center</w:t>
          </w:r>
        </w:smartTag>
      </w:smartTag>
    </w:p>
    <w:p w:rsidR="001C1946" w:rsidRDefault="001C1946">
      <w:pPr>
        <w:jc w:val="right"/>
        <w:rPr>
          <w:sz w:val="28"/>
        </w:rPr>
      </w:pPr>
      <w:r>
        <w:rPr>
          <w:sz w:val="28"/>
        </w:rPr>
        <w:t>For Educational</w:t>
      </w:r>
    </w:p>
    <w:p w:rsidR="001C1946" w:rsidRDefault="001C1946">
      <w:pPr>
        <w:jc w:val="right"/>
        <w:rPr>
          <w:sz w:val="28"/>
        </w:rPr>
      </w:pPr>
      <w:r>
        <w:rPr>
          <w:sz w:val="28"/>
        </w:rPr>
        <w:t>Research</w:t>
      </w:r>
    </w:p>
    <w:p w:rsidR="001C1946" w:rsidRDefault="001C1946">
      <w:pPr>
        <w:pBdr>
          <w:top w:val="single" w:sz="4" w:space="1" w:color="auto"/>
        </w:pBdr>
        <w:jc w:val="right"/>
        <w:rPr>
          <w:sz w:val="28"/>
        </w:rPr>
      </w:pPr>
      <w:smartTag w:uri="urn:schemas-microsoft-com:office:smarttags" w:element="City">
        <w:smartTag w:uri="urn:schemas-microsoft-com:office:smarttags" w:element="place">
          <w:r>
            <w:rPr>
              <w:sz w:val="28"/>
            </w:rPr>
            <w:t>Austin</w:t>
          </w:r>
        </w:smartTag>
      </w:smartTag>
    </w:p>
    <w:p w:rsidR="001C1946" w:rsidRDefault="001C1946">
      <w:pPr>
        <w:jc w:val="right"/>
        <w:rPr>
          <w:sz w:val="28"/>
        </w:rPr>
      </w:pPr>
    </w:p>
    <w:p w:rsidR="001C1946" w:rsidRDefault="001C1946">
      <w:pPr>
        <w:jc w:val="right"/>
        <w:rPr>
          <w:sz w:val="28"/>
        </w:rPr>
      </w:pPr>
    </w:p>
    <w:p w:rsidR="001C1946" w:rsidRDefault="001C1946">
      <w:pPr>
        <w:rPr>
          <w:b/>
          <w:sz w:val="36"/>
        </w:rPr>
      </w:pPr>
      <w:r>
        <w:rPr>
          <w:sz w:val="28"/>
        </w:rPr>
        <w:lastRenderedPageBreak/>
        <w:tab/>
      </w:r>
      <w:smartTag w:uri="urn:schemas-microsoft-com:office:smarttags" w:element="State">
        <w:smartTag w:uri="urn:schemas-microsoft-com:office:smarttags" w:element="place">
          <w:r>
            <w:rPr>
              <w:b/>
              <w:sz w:val="36"/>
            </w:rPr>
            <w:t>Texas</w:t>
          </w:r>
        </w:smartTag>
      </w:smartTag>
    </w:p>
    <w:p w:rsidR="001C1946" w:rsidRDefault="001C1946">
      <w:pPr>
        <w:rPr>
          <w:b/>
          <w:sz w:val="36"/>
        </w:rPr>
      </w:pPr>
      <w:r>
        <w:rPr>
          <w:b/>
          <w:sz w:val="36"/>
        </w:rPr>
        <w:tab/>
        <w:t>Open-Enrollment</w:t>
      </w:r>
    </w:p>
    <w:p w:rsidR="001C1946" w:rsidRDefault="001C1946">
      <w:pPr>
        <w:rPr>
          <w:b/>
          <w:sz w:val="36"/>
        </w:rPr>
      </w:pPr>
      <w:r>
        <w:rPr>
          <w:b/>
          <w:sz w:val="36"/>
        </w:rPr>
        <w:tab/>
        <w:t>Charter Schools</w:t>
      </w:r>
    </w:p>
    <w:p w:rsidR="001C1946" w:rsidRDefault="001C1946">
      <w:pPr>
        <w:pStyle w:val="BodyText"/>
        <w:ind w:right="-240"/>
        <w:rPr>
          <w:sz w:val="36"/>
        </w:rPr>
      </w:pPr>
      <w:r>
        <w:rPr>
          <w:sz w:val="36"/>
        </w:rPr>
        <w:tab/>
        <w:t>Fourth-Year Evaluation</w:t>
      </w:r>
    </w:p>
    <w:p w:rsidR="001C1946" w:rsidRDefault="001C1946">
      <w:pPr>
        <w:pStyle w:val="BodyText"/>
        <w:rPr>
          <w:sz w:val="36"/>
        </w:rPr>
      </w:pPr>
    </w:p>
    <w:p w:rsidR="001C1946" w:rsidRDefault="001C1946">
      <w:pPr>
        <w:pStyle w:val="BodyText"/>
        <w:jc w:val="right"/>
        <w:rPr>
          <w:sz w:val="36"/>
        </w:rPr>
      </w:pPr>
      <w:r>
        <w:rPr>
          <w:sz w:val="36"/>
        </w:rPr>
        <w:t>Executive Summary</w:t>
      </w:r>
    </w:p>
    <w:p w:rsidR="001C1946" w:rsidRDefault="001C1946">
      <w:pPr>
        <w:pStyle w:val="BodyText"/>
        <w:rPr>
          <w:sz w:val="40"/>
        </w:rPr>
        <w:sectPr w:rsidR="001C1946">
          <w:footerReference w:type="even" r:id="rId7"/>
          <w:footerReference w:type="default" r:id="rId8"/>
          <w:pgSz w:w="12240" w:h="15840"/>
          <w:pgMar w:top="1440" w:right="1440" w:bottom="1440" w:left="1800" w:header="720" w:footer="720" w:gutter="0"/>
          <w:cols w:num="2" w:space="720" w:equalWidth="0">
            <w:col w:w="3960" w:space="720"/>
            <w:col w:w="4320"/>
          </w:cols>
          <w:titlePg/>
        </w:sectPr>
      </w:pPr>
    </w:p>
    <w:p w:rsidR="001C1946" w:rsidRDefault="001C1946">
      <w:pPr>
        <w:pStyle w:val="BodyText"/>
        <w:rPr>
          <w:b w:val="0"/>
          <w:bCs/>
          <w:sz w:val="24"/>
        </w:rPr>
        <w:sectPr w:rsidR="001C1946">
          <w:footerReference w:type="default" r:id="rId9"/>
          <w:pgSz w:w="12240" w:h="15840"/>
          <w:pgMar w:top="1440" w:right="1800" w:bottom="1440" w:left="1800" w:header="720" w:footer="720" w:gutter="0"/>
          <w:pgNumType w:start="1"/>
          <w:cols w:num="2" w:space="720" w:equalWidth="0">
            <w:col w:w="2400" w:space="720"/>
            <w:col w:w="5520"/>
          </w:cols>
        </w:sectPr>
      </w:pPr>
    </w:p>
    <w:p w:rsidR="001C1946" w:rsidRDefault="001C1946">
      <w:pPr>
        <w:pStyle w:val="Title"/>
      </w:pPr>
      <w:r>
        <w:lastRenderedPageBreak/>
        <w:t>Texas Open-Enrollment Charter Schools:</w:t>
      </w:r>
    </w:p>
    <w:p w:rsidR="001C1946" w:rsidRDefault="001C1946">
      <w:pPr>
        <w:pStyle w:val="Title"/>
      </w:pPr>
      <w:r>
        <w:t>Fourth-Year Evaluation</w:t>
      </w:r>
    </w:p>
    <w:p w:rsidR="001C1946" w:rsidRDefault="001C1946">
      <w:pPr>
        <w:pStyle w:val="Title"/>
      </w:pPr>
      <w:r>
        <w:t>September 2001</w:t>
      </w:r>
    </w:p>
    <w:p w:rsidR="001C1946" w:rsidRDefault="001C1946">
      <w:pPr>
        <w:jc w:val="center"/>
        <w:rPr>
          <w:b/>
          <w:bCs/>
        </w:rPr>
      </w:pPr>
    </w:p>
    <w:p w:rsidR="001C1946" w:rsidRDefault="001C1946">
      <w:pPr>
        <w:pStyle w:val="Heading1"/>
        <w:jc w:val="center"/>
        <w:rPr>
          <w:b/>
          <w:bCs/>
        </w:rPr>
      </w:pPr>
      <w:r>
        <w:rPr>
          <w:b/>
          <w:bCs/>
        </w:rPr>
        <w:t>Executive Summary</w:t>
      </w:r>
    </w:p>
    <w:p w:rsidR="001C1946" w:rsidRDefault="001C1946">
      <w:pPr>
        <w:jc w:val="center"/>
        <w:rPr>
          <w:b/>
          <w:bCs/>
        </w:rPr>
      </w:pPr>
    </w:p>
    <w:p w:rsidR="001C1946" w:rsidRDefault="001C1946">
      <w:pPr>
        <w:pStyle w:val="Heading2"/>
        <w:rPr>
          <w:sz w:val="26"/>
        </w:rPr>
      </w:pPr>
      <w:r>
        <w:rPr>
          <w:sz w:val="26"/>
        </w:rPr>
        <w:t>Introduction</w:t>
      </w:r>
    </w:p>
    <w:p w:rsidR="001C1946" w:rsidRDefault="001C1946">
      <w:pPr>
        <w:rPr>
          <w:sz w:val="24"/>
        </w:rPr>
      </w:pPr>
    </w:p>
    <w:p w:rsidR="001C1946" w:rsidRDefault="001C1946">
      <w:pPr>
        <w:rPr>
          <w:sz w:val="24"/>
        </w:rPr>
      </w:pPr>
      <w:r>
        <w:rPr>
          <w:sz w:val="24"/>
        </w:rPr>
        <w:t>In 1995, the Texas Legislature authorized the creation of open-enrollment charter schools (Texas Education Code [TEC] §§ 12.101-120)—traditional public schools substantially released from state education regulations. Subsequent legislative modifications allowed an additional 100 open-enrollment charters and an unlimited number of open-enrollment charter schools with a declared intention to serve 75 percent or more students at risk of failure or dropping out of school (75 Percent Rule charter schools).</w:t>
      </w:r>
      <w:r>
        <w:rPr>
          <w:rStyle w:val="FootnoteReference"/>
          <w:sz w:val="24"/>
        </w:rPr>
        <w:footnoteReference w:id="1"/>
      </w:r>
      <w:r>
        <w:rPr>
          <w:sz w:val="24"/>
        </w:rPr>
        <w:t xml:space="preserve"> During the 1996-97 school </w:t>
      </w:r>
      <w:proofErr w:type="gramStart"/>
      <w:r>
        <w:rPr>
          <w:sz w:val="24"/>
        </w:rPr>
        <w:t>year</w:t>
      </w:r>
      <w:proofErr w:type="gramEnd"/>
      <w:r>
        <w:rPr>
          <w:sz w:val="24"/>
        </w:rPr>
        <w:t xml:space="preserve">, 17 open-enrollment charter schools operated in </w:t>
      </w:r>
      <w:smartTag w:uri="urn:schemas-microsoft-com:office:smarttags" w:element="State">
        <w:smartTag w:uri="urn:schemas-microsoft-com:office:smarttags" w:element="place">
          <w:r>
            <w:rPr>
              <w:sz w:val="24"/>
            </w:rPr>
            <w:t>Texas</w:t>
          </w:r>
        </w:smartTag>
      </w:smartTag>
      <w:r>
        <w:rPr>
          <w:sz w:val="24"/>
        </w:rPr>
        <w:t>. In 1997-98, charter schools numbered 19, and in 1998-99, 89 charter schools were in operation, 45 of which were designated to serve at-risk students. This evaluation centers on the 146 charter schools operating for the entire 1999-00 school year; of these, 46 were 75 Percent Rule charter schools.</w:t>
      </w:r>
    </w:p>
    <w:p w:rsidR="001C1946" w:rsidRDefault="001C1946">
      <w:pPr>
        <w:pStyle w:val="Header"/>
        <w:tabs>
          <w:tab w:val="clear" w:pos="4320"/>
          <w:tab w:val="clear" w:pos="8640"/>
        </w:tabs>
        <w:spacing w:line="360" w:lineRule="exact"/>
        <w:rPr>
          <w:szCs w:val="24"/>
        </w:rPr>
      </w:pPr>
    </w:p>
    <w:p w:rsidR="001C1946" w:rsidRDefault="001C1946">
      <w:pPr>
        <w:pStyle w:val="Heading2"/>
        <w:rPr>
          <w:sz w:val="26"/>
        </w:rPr>
      </w:pPr>
      <w:r>
        <w:rPr>
          <w:sz w:val="26"/>
        </w:rPr>
        <w:t>Methodology</w:t>
      </w:r>
    </w:p>
    <w:p w:rsidR="001C1946" w:rsidRDefault="001C1946"/>
    <w:p w:rsidR="001C1946" w:rsidRDefault="001C1946">
      <w:pPr>
        <w:rPr>
          <w:sz w:val="24"/>
        </w:rPr>
      </w:pPr>
      <w:r>
        <w:rPr>
          <w:sz w:val="24"/>
        </w:rPr>
        <w:t>The State Board of Education (SBOE) commissioned the annual evaluation pursuant to TEC § 12.118. The fourth-year evaluation encompasses a variety of data sources, including student and parent surveys, surveys of charter school directors and traditional school district officials, document analysis, and analysis of the Texas Education Agency’s Public Education Information Management System (PEIMS) and Academic Excellence Indicator System (AEIS) data.</w:t>
      </w:r>
    </w:p>
    <w:p w:rsidR="001C1946" w:rsidRDefault="001C1946">
      <w:pPr>
        <w:rPr>
          <w:sz w:val="24"/>
        </w:rPr>
      </w:pPr>
    </w:p>
    <w:p w:rsidR="001C1946" w:rsidRDefault="001C1946">
      <w:pPr>
        <w:pStyle w:val="Header"/>
        <w:tabs>
          <w:tab w:val="clear" w:pos="4320"/>
          <w:tab w:val="clear" w:pos="8640"/>
        </w:tabs>
      </w:pPr>
      <w:r>
        <w:rPr>
          <w:u w:val="single"/>
        </w:rPr>
        <w:t>Analysis by charter type and students served</w:t>
      </w:r>
      <w:r>
        <w:rPr>
          <w:i/>
          <w:iCs/>
        </w:rPr>
        <w:t xml:space="preserve">. </w:t>
      </w:r>
      <w:r>
        <w:t xml:space="preserve">In order to capture the wide variation among charter schools, evaluators grouped charter schools to distinguish between those that serve primarily traditional students and those serving a preponderance of students who are “at-risk” of leaving the public school system. Thus, the charter schools are usually assigned to one of three categories: 75 Percent Rule open-enrollment charter schools, open-enrollment charter schools serving primarily at-risk students (75 percent or more), and open-enrollment charter schools serving less than 75 percent at-risk students. In many cases, evaluators combined data for 75 Percent Rule schools and schools serving primarily at-risk students. The percentage of at-risk students used to classify charter schools is drawn from 1999-00 PEIMS data. </w:t>
      </w:r>
    </w:p>
    <w:p w:rsidR="001C1946" w:rsidRDefault="001C1946"/>
    <w:p w:rsidR="001C1946" w:rsidRDefault="001C1946">
      <w:pPr>
        <w:rPr>
          <w:sz w:val="24"/>
        </w:rPr>
      </w:pPr>
      <w:proofErr w:type="gramStart"/>
      <w:r>
        <w:rPr>
          <w:sz w:val="24"/>
          <w:u w:val="single"/>
        </w:rPr>
        <w:t>Analysis by duration of operation</w:t>
      </w:r>
      <w:r>
        <w:rPr>
          <w:i/>
          <w:iCs/>
          <w:sz w:val="24"/>
        </w:rPr>
        <w:t>.</w:t>
      </w:r>
      <w:proofErr w:type="gramEnd"/>
      <w:r>
        <w:rPr>
          <w:sz w:val="24"/>
        </w:rPr>
        <w:t xml:space="preserve"> Throughout the report, the term “Generation” refers to the time the SBOE awarded the charter, which often corresponds to years of operation. Analyses related to charter schools’ length of operation include 19 Generation 1 schools that began operation in 1996 or 1997, 39 Generation 2 schools, and 83 Generation 3 schools. In most cases, because of the challenges associated</w:t>
      </w:r>
      <w:r>
        <w:t xml:space="preserve"> </w:t>
      </w:r>
      <w:r>
        <w:rPr>
          <w:sz w:val="24"/>
        </w:rPr>
        <w:t>with the start-up year, data from charter schools in the first year of operation are not considered for campus-level analyses.</w:t>
      </w:r>
    </w:p>
    <w:p w:rsidR="001C1946" w:rsidRDefault="001C1946">
      <w:pPr>
        <w:rPr>
          <w:sz w:val="24"/>
        </w:rPr>
      </w:pPr>
    </w:p>
    <w:p w:rsidR="001C1946" w:rsidRDefault="001C1946">
      <w:pPr>
        <w:rPr>
          <w:sz w:val="24"/>
        </w:rPr>
      </w:pPr>
      <w:r>
        <w:rPr>
          <w:sz w:val="24"/>
          <w:u w:val="single"/>
        </w:rPr>
        <w:t>Study limitations</w:t>
      </w:r>
      <w:r>
        <w:rPr>
          <w:sz w:val="24"/>
        </w:rPr>
        <w:t>. Several factors complicate the analysis of charter school data. First, the assessment of change over time is complicated because the number of charter schools has increased dramatically each year, whereas the number of traditional public school districts has remained relatively stable. Likewise, the numbers of students available for analysis varies widely across years. Second, with the exception of the Texas Assessment of Academic Skills (TAAS), the majority of data are self-reported. Thus, information reflects respondents’ perceptions, and in some cases, the accuracy of charter school data entered into PEIMS is an issue. For example, 75 Percent Rule charter schools reporting very few at-risk students appears unreasonable in many cases, based on school characteristics. Third, TEA recognizes charter schools both as campuses and districts, so analyses involved both categories. Some comparisons use campus-level data, while others rely on district-level data—as a result, reported numbers of charter schools may vary. Finally, for the majority of comparisons, the school is the unit of analysis; for student performance, however, the student is the analysis unit. For school-level analyses, each school receives equal weight, whereas with the student as the unit, larger schools receive more weight in calculations. In general, the reader is urged to consider study limitations when interpreting the reported information.</w:t>
      </w:r>
    </w:p>
    <w:p w:rsidR="001C1946" w:rsidRDefault="001C1946">
      <w:pPr>
        <w:pStyle w:val="Header"/>
        <w:tabs>
          <w:tab w:val="clear" w:pos="4320"/>
          <w:tab w:val="clear" w:pos="8640"/>
        </w:tabs>
        <w:spacing w:line="360" w:lineRule="exact"/>
        <w:rPr>
          <w:szCs w:val="24"/>
        </w:rPr>
      </w:pPr>
    </w:p>
    <w:p w:rsidR="001C1946" w:rsidRDefault="001C1946">
      <w:pPr>
        <w:pStyle w:val="Heading2"/>
        <w:rPr>
          <w:sz w:val="26"/>
        </w:rPr>
      </w:pPr>
      <w:r>
        <w:rPr>
          <w:sz w:val="26"/>
        </w:rPr>
        <w:t>Major Findings</w:t>
      </w:r>
    </w:p>
    <w:p w:rsidR="001C1946" w:rsidRDefault="001C1946">
      <w:pPr>
        <w:rPr>
          <w:b/>
          <w:bCs/>
        </w:rPr>
      </w:pPr>
    </w:p>
    <w:p w:rsidR="001C1946" w:rsidRDefault="001C1946">
      <w:pPr>
        <w:pStyle w:val="Heading2"/>
        <w:rPr>
          <w:i/>
          <w:iCs/>
        </w:rPr>
      </w:pPr>
      <w:r>
        <w:rPr>
          <w:i/>
          <w:iCs/>
        </w:rPr>
        <w:t>Characteristics of Texas Open-Enrollment Charter Schools</w:t>
      </w:r>
    </w:p>
    <w:p w:rsidR="001C1946" w:rsidRDefault="001C1946">
      <w:pPr>
        <w:pStyle w:val="Header"/>
        <w:tabs>
          <w:tab w:val="clear" w:pos="4320"/>
          <w:tab w:val="clear" w:pos="8640"/>
        </w:tabs>
        <w:spacing w:line="120" w:lineRule="exact"/>
        <w:rPr>
          <w:szCs w:val="24"/>
        </w:rPr>
      </w:pPr>
    </w:p>
    <w:p w:rsidR="001C1946" w:rsidRDefault="001C1946">
      <w:pPr>
        <w:rPr>
          <w:sz w:val="24"/>
        </w:rPr>
      </w:pPr>
      <w:proofErr w:type="gramStart"/>
      <w:r>
        <w:rPr>
          <w:sz w:val="24"/>
          <w:u w:val="single"/>
        </w:rPr>
        <w:t>Charter school classifications</w:t>
      </w:r>
      <w:r>
        <w:rPr>
          <w:sz w:val="24"/>
        </w:rPr>
        <w:t>.</w:t>
      </w:r>
      <w:proofErr w:type="gramEnd"/>
      <w:r>
        <w:rPr>
          <w:sz w:val="24"/>
        </w:rPr>
        <w:t xml:space="preserve"> Of the 141 charter schools operating in 1999-00 with AEIS reports, 44 had 75 Percent Rule charters. Of the 97</w:t>
      </w:r>
      <w:r>
        <w:rPr>
          <w:b/>
          <w:bCs/>
          <w:sz w:val="24"/>
        </w:rPr>
        <w:t xml:space="preserve"> </w:t>
      </w:r>
      <w:r>
        <w:rPr>
          <w:sz w:val="24"/>
        </w:rPr>
        <w:t>general open-enrollment charter schools, 28 enrolled 75 percent or more at-risk students, while</w:t>
      </w:r>
      <w:r>
        <w:rPr>
          <w:b/>
          <w:bCs/>
          <w:sz w:val="24"/>
        </w:rPr>
        <w:t xml:space="preserve"> </w:t>
      </w:r>
      <w:r>
        <w:rPr>
          <w:sz w:val="24"/>
        </w:rPr>
        <w:t xml:space="preserve">69 enrolled less than 75 percent at-risk students. </w:t>
      </w:r>
    </w:p>
    <w:p w:rsidR="001C1946" w:rsidRDefault="001C1946">
      <w:pPr>
        <w:rPr>
          <w:sz w:val="24"/>
        </w:rPr>
      </w:pPr>
    </w:p>
    <w:p w:rsidR="001C1946" w:rsidRDefault="001C1946">
      <w:pPr>
        <w:rPr>
          <w:sz w:val="24"/>
        </w:rPr>
      </w:pPr>
      <w:r>
        <w:rPr>
          <w:sz w:val="24"/>
          <w:u w:val="single"/>
        </w:rPr>
        <w:t>Numbers of charters revoked, returned, renewed</w:t>
      </w:r>
      <w:r>
        <w:rPr>
          <w:i/>
          <w:iCs/>
          <w:sz w:val="24"/>
        </w:rPr>
        <w:t xml:space="preserve">. </w:t>
      </w:r>
      <w:r>
        <w:rPr>
          <w:sz w:val="24"/>
        </w:rPr>
        <w:t>To date, 4 open-enrollment charters have been revoked by the SBOE; all revocations have been for financial irregularities. Eighteen schools have returned their charters. Of the 18 first-generation schools submitting renewal applications, 17 received charter renewals for a 10-year period, and one renewal application is pending.</w:t>
      </w:r>
    </w:p>
    <w:p w:rsidR="001C1946" w:rsidRDefault="001C1946">
      <w:pPr>
        <w:pStyle w:val="Header"/>
        <w:tabs>
          <w:tab w:val="clear" w:pos="4320"/>
          <w:tab w:val="clear" w:pos="8640"/>
        </w:tabs>
        <w:rPr>
          <w:szCs w:val="24"/>
        </w:rPr>
      </w:pPr>
    </w:p>
    <w:p w:rsidR="001C1946" w:rsidRDefault="001C1946">
      <w:pPr>
        <w:rPr>
          <w:sz w:val="24"/>
        </w:rPr>
      </w:pPr>
      <w:proofErr w:type="gramStart"/>
      <w:r>
        <w:rPr>
          <w:sz w:val="24"/>
          <w:u w:val="single"/>
        </w:rPr>
        <w:t>Charter school campus size</w:t>
      </w:r>
      <w:r>
        <w:rPr>
          <w:sz w:val="24"/>
        </w:rPr>
        <w:t>.</w:t>
      </w:r>
      <w:proofErr w:type="gramEnd"/>
      <w:r>
        <w:rPr>
          <w:sz w:val="24"/>
        </w:rPr>
        <w:t xml:space="preserve"> In total, 176 charter school campuses operated in 1999-00, with an average of 146 students per campus and enrollments ranging from 6 to 823 students. Over the four years of the evaluation, average campus size has varied: 147 in 1996-97, 217 in 1997-98, 198 in 1998-99, </w:t>
      </w:r>
      <w:proofErr w:type="gramStart"/>
      <w:r>
        <w:rPr>
          <w:sz w:val="24"/>
        </w:rPr>
        <w:t>146</w:t>
      </w:r>
      <w:proofErr w:type="gramEnd"/>
      <w:r>
        <w:rPr>
          <w:sz w:val="24"/>
        </w:rPr>
        <w:t xml:space="preserve"> in 1999-00.</w:t>
      </w:r>
    </w:p>
    <w:p w:rsidR="001C1946" w:rsidRDefault="001C1946">
      <w:pPr>
        <w:rPr>
          <w:sz w:val="24"/>
        </w:rPr>
      </w:pPr>
      <w:r>
        <w:br w:type="page"/>
      </w:r>
      <w:proofErr w:type="gramStart"/>
      <w:r>
        <w:rPr>
          <w:sz w:val="24"/>
          <w:u w:val="single"/>
        </w:rPr>
        <w:lastRenderedPageBreak/>
        <w:t>Charter school student demographics</w:t>
      </w:r>
      <w:r>
        <w:rPr>
          <w:sz w:val="24"/>
        </w:rPr>
        <w:t>.</w:t>
      </w:r>
      <w:proofErr w:type="gramEnd"/>
      <w:r>
        <w:rPr>
          <w:sz w:val="24"/>
        </w:rPr>
        <w:t xml:space="preserve"> Compared to </w:t>
      </w:r>
      <w:smartTag w:uri="urn:schemas-microsoft-com:office:smarttags" w:element="State">
        <w:smartTag w:uri="urn:schemas-microsoft-com:office:smarttags" w:element="place">
          <w:r>
            <w:rPr>
              <w:sz w:val="24"/>
            </w:rPr>
            <w:t>Texas</w:t>
          </w:r>
        </w:smartTag>
      </w:smartTag>
      <w:r>
        <w:rPr>
          <w:sz w:val="24"/>
        </w:rPr>
        <w:t xml:space="preserve"> traditional public schools, charter school students are more ethnically diverse, slightly more economically disadvantaged, and less likely to be identified for special services (limited English proficient, special education).</w:t>
      </w:r>
    </w:p>
    <w:p w:rsidR="001C1946" w:rsidRDefault="001C1946">
      <w:pPr>
        <w:pStyle w:val="Header"/>
        <w:tabs>
          <w:tab w:val="clear" w:pos="4320"/>
          <w:tab w:val="clear" w:pos="8640"/>
        </w:tabs>
        <w:rPr>
          <w:szCs w:val="24"/>
        </w:rPr>
      </w:pPr>
    </w:p>
    <w:p w:rsidR="001C1946" w:rsidRDefault="001C1946">
      <w:pPr>
        <w:numPr>
          <w:ilvl w:val="0"/>
          <w:numId w:val="4"/>
        </w:numPr>
        <w:spacing w:after="120"/>
        <w:rPr>
          <w:sz w:val="24"/>
        </w:rPr>
      </w:pPr>
      <w:r>
        <w:rPr>
          <w:i/>
          <w:iCs/>
          <w:sz w:val="24"/>
        </w:rPr>
        <w:t>Student race/ethnicity</w:t>
      </w:r>
      <w:r>
        <w:rPr>
          <w:sz w:val="24"/>
        </w:rPr>
        <w:t xml:space="preserve">. Compared to the student population in </w:t>
      </w:r>
      <w:smartTag w:uri="urn:schemas-microsoft-com:office:smarttags" w:element="State">
        <w:smartTag w:uri="urn:schemas-microsoft-com:office:smarttags" w:element="place">
          <w:r>
            <w:rPr>
              <w:sz w:val="24"/>
            </w:rPr>
            <w:t>Texas</w:t>
          </w:r>
        </w:smartTag>
      </w:smartTag>
      <w:r>
        <w:rPr>
          <w:sz w:val="24"/>
        </w:rPr>
        <w:t xml:space="preserve"> traditional public schools, charter schools have greater proportions of minority students. Charter schools have a higher percentage of African American students (39% versus 14%) and a lower percentage of White students (22% versus 43%), whereas the percentage of Hispanic students (38%) is roughly the same as the state average (40%). </w:t>
      </w:r>
    </w:p>
    <w:p w:rsidR="001C1946" w:rsidRDefault="001C1946">
      <w:pPr>
        <w:numPr>
          <w:ilvl w:val="0"/>
          <w:numId w:val="4"/>
        </w:numPr>
        <w:spacing w:after="120"/>
        <w:rPr>
          <w:sz w:val="24"/>
        </w:rPr>
      </w:pPr>
      <w:r>
        <w:rPr>
          <w:i/>
          <w:iCs/>
          <w:sz w:val="24"/>
        </w:rPr>
        <w:t>Homogeneous schools</w:t>
      </w:r>
      <w:r>
        <w:rPr>
          <w:sz w:val="24"/>
        </w:rPr>
        <w:t>. About a third of charter school campuses enroll predominantly one racial/ethnic group (90% or more). These campuses are more likely to serve African American (</w:t>
      </w:r>
      <w:r>
        <w:rPr>
          <w:i/>
          <w:iCs/>
          <w:sz w:val="24"/>
        </w:rPr>
        <w:t>n</w:t>
      </w:r>
      <w:r>
        <w:rPr>
          <w:sz w:val="24"/>
        </w:rPr>
        <w:t>=27) and Hispanic (</w:t>
      </w:r>
      <w:r>
        <w:rPr>
          <w:i/>
          <w:iCs/>
          <w:sz w:val="24"/>
        </w:rPr>
        <w:t>n</w:t>
      </w:r>
      <w:r>
        <w:rPr>
          <w:sz w:val="24"/>
        </w:rPr>
        <w:t>=20) students rather than White students (</w:t>
      </w:r>
      <w:r>
        <w:rPr>
          <w:i/>
          <w:iCs/>
          <w:sz w:val="24"/>
        </w:rPr>
        <w:t>n</w:t>
      </w:r>
      <w:r>
        <w:rPr>
          <w:sz w:val="24"/>
        </w:rPr>
        <w:t>=6).</w:t>
      </w:r>
    </w:p>
    <w:p w:rsidR="001C1946" w:rsidRDefault="001C1946">
      <w:pPr>
        <w:numPr>
          <w:ilvl w:val="0"/>
          <w:numId w:val="4"/>
        </w:numPr>
        <w:rPr>
          <w:sz w:val="24"/>
        </w:rPr>
      </w:pPr>
      <w:r>
        <w:rPr>
          <w:i/>
          <w:iCs/>
          <w:sz w:val="24"/>
        </w:rPr>
        <w:t>Special populations</w:t>
      </w:r>
      <w:r>
        <w:rPr>
          <w:sz w:val="24"/>
        </w:rPr>
        <w:t>. Economically disadvantaged students comprise a slightly larger proportion of charter school students (52%) compared to the state (49%). However, charter schools have lower percentages of limited English proficient (4%) and special education students (7%) compared to state averages (14% and 12%, respectively).</w:t>
      </w:r>
    </w:p>
    <w:p w:rsidR="001C1946" w:rsidRDefault="001C1946">
      <w:pPr>
        <w:rPr>
          <w:b/>
          <w:bCs/>
          <w:sz w:val="24"/>
        </w:rPr>
      </w:pPr>
    </w:p>
    <w:p w:rsidR="001C1946" w:rsidRDefault="001C1946">
      <w:pPr>
        <w:spacing w:after="120"/>
        <w:rPr>
          <w:sz w:val="24"/>
        </w:rPr>
      </w:pPr>
      <w:proofErr w:type="gramStart"/>
      <w:r>
        <w:rPr>
          <w:sz w:val="24"/>
          <w:u w:val="single"/>
        </w:rPr>
        <w:t>Staffing characteristics in charter schools</w:t>
      </w:r>
      <w:r>
        <w:rPr>
          <w:sz w:val="24"/>
        </w:rPr>
        <w:t>.</w:t>
      </w:r>
      <w:proofErr w:type="gramEnd"/>
      <w:r>
        <w:rPr>
          <w:sz w:val="24"/>
        </w:rPr>
        <w:t xml:space="preserve"> Compared to traditional public schools, charter schools have less experienced teachers, lower teacher salaries, higher teacher turnover, more minority teachers, and higher student-teacher ratios.</w:t>
      </w:r>
    </w:p>
    <w:p w:rsidR="001C1946" w:rsidRDefault="001C1946">
      <w:pPr>
        <w:numPr>
          <w:ilvl w:val="0"/>
          <w:numId w:val="3"/>
        </w:numPr>
        <w:spacing w:after="120"/>
        <w:rPr>
          <w:sz w:val="24"/>
        </w:rPr>
      </w:pPr>
      <w:r>
        <w:rPr>
          <w:i/>
          <w:iCs/>
          <w:sz w:val="24"/>
        </w:rPr>
        <w:t>Less experienced teachers</w:t>
      </w:r>
      <w:r>
        <w:rPr>
          <w:sz w:val="24"/>
        </w:rPr>
        <w:t>. Charter school teachers, on average, are less experienced (5.3 years) than teachers in traditional public school (11.9 years). The percentage of beginning teachers in charter schools is significantly higher than the state average (39% versus 8%), and the percentage of charter school teachers with one to five years experience is higher than the state average (41% versus 27%).</w:t>
      </w:r>
    </w:p>
    <w:p w:rsidR="001C1946" w:rsidRDefault="001C1946">
      <w:pPr>
        <w:numPr>
          <w:ilvl w:val="0"/>
          <w:numId w:val="3"/>
        </w:numPr>
        <w:spacing w:after="120"/>
        <w:rPr>
          <w:sz w:val="24"/>
        </w:rPr>
      </w:pPr>
      <w:r>
        <w:rPr>
          <w:i/>
          <w:iCs/>
          <w:sz w:val="24"/>
        </w:rPr>
        <w:t>Lower salaries</w:t>
      </w:r>
      <w:r>
        <w:rPr>
          <w:sz w:val="24"/>
        </w:rPr>
        <w:t xml:space="preserve">. Teachers in charter schools (particularly in 75 Percent Rule schools) are paid considerably less than those in traditional public schools, with the average charter school teacher salary ($27,434) far below that for teachers in traditional public schools ($37, 567). Part of the difference in salaries may be accounted for by the relative inexperience of charter school teachers. The salary gap seen in the fourth-year evaluation ($10,000) is greater than the disparity reported in year 3 ($7,500). </w:t>
      </w:r>
    </w:p>
    <w:p w:rsidR="001C1946" w:rsidRDefault="001C1946">
      <w:pPr>
        <w:numPr>
          <w:ilvl w:val="0"/>
          <w:numId w:val="3"/>
        </w:numPr>
        <w:spacing w:after="120"/>
        <w:rPr>
          <w:sz w:val="24"/>
        </w:rPr>
      </w:pPr>
      <w:r>
        <w:rPr>
          <w:i/>
          <w:iCs/>
          <w:sz w:val="24"/>
        </w:rPr>
        <w:t>Higher teacher turnover</w:t>
      </w:r>
      <w:r>
        <w:rPr>
          <w:sz w:val="24"/>
        </w:rPr>
        <w:t>. The turnover rate for teachers in charter schools–49%–is much higher than the stage average of 15%; however, the turnover rate is lower in more established first-generation schools (42%) compared to newer, third-generation schools (60%).</w:t>
      </w:r>
    </w:p>
    <w:p w:rsidR="001C1946" w:rsidRDefault="001C1946">
      <w:pPr>
        <w:numPr>
          <w:ilvl w:val="0"/>
          <w:numId w:val="3"/>
        </w:numPr>
        <w:spacing w:after="120"/>
        <w:rPr>
          <w:sz w:val="24"/>
        </w:rPr>
      </w:pPr>
      <w:r>
        <w:rPr>
          <w:i/>
          <w:iCs/>
          <w:sz w:val="24"/>
        </w:rPr>
        <w:t>More minority teachers</w:t>
      </w:r>
      <w:r>
        <w:rPr>
          <w:sz w:val="24"/>
        </w:rPr>
        <w:t xml:space="preserve">. Charter school faculty have more minority teachers (44%) compared to the state (26%), with a greater proportion of African American teachers (38% versus 8%), the same proportion of Hispanic teachers (17%), and substantially less White teachers (43% versus 74%). </w:t>
      </w:r>
    </w:p>
    <w:p w:rsidR="001C1946" w:rsidRDefault="001C1946">
      <w:pPr>
        <w:numPr>
          <w:ilvl w:val="0"/>
          <w:numId w:val="3"/>
        </w:numPr>
        <w:rPr>
          <w:sz w:val="24"/>
        </w:rPr>
      </w:pPr>
      <w:r>
        <w:rPr>
          <w:i/>
          <w:iCs/>
          <w:sz w:val="24"/>
        </w:rPr>
        <w:t>Higher student-teacher ratios</w:t>
      </w:r>
      <w:r>
        <w:rPr>
          <w:sz w:val="24"/>
        </w:rPr>
        <w:t>. The average student-teacher ratio in charter schools (17 to 1) is somewhat higher than the ratio in Texas’ traditional public schools (15 to 1); however, these are school-level rather than classroom-level ratios.</w:t>
      </w:r>
    </w:p>
    <w:p w:rsidR="001C1946" w:rsidRDefault="001C1946">
      <w:pPr>
        <w:rPr>
          <w:b/>
          <w:bCs/>
          <w:sz w:val="24"/>
        </w:rPr>
      </w:pPr>
    </w:p>
    <w:p w:rsidR="001C1946" w:rsidRDefault="001C1946">
      <w:pPr>
        <w:pStyle w:val="Heading9"/>
        <w:jc w:val="left"/>
      </w:pPr>
      <w:smartTag w:uri="urn:schemas-microsoft-com:office:smarttags" w:element="place">
        <w:smartTag w:uri="urn:schemas-microsoft-com:office:smarttags" w:element="PlaceName">
          <w:r>
            <w:lastRenderedPageBreak/>
            <w:t>Charter</w:t>
          </w:r>
        </w:smartTag>
        <w:r>
          <w:t xml:space="preserve"> </w:t>
        </w:r>
        <w:smartTag w:uri="urn:schemas-microsoft-com:office:smarttags" w:element="PlaceType">
          <w:r>
            <w:t>School</w:t>
          </w:r>
        </w:smartTag>
      </w:smartTag>
      <w:r>
        <w:t xml:space="preserve"> Revenues and Expenditures</w:t>
      </w:r>
    </w:p>
    <w:p w:rsidR="001C1946" w:rsidRDefault="001C1946"/>
    <w:p w:rsidR="001C1946" w:rsidRDefault="001C1946">
      <w:pPr>
        <w:rPr>
          <w:sz w:val="24"/>
        </w:rPr>
      </w:pPr>
      <w:proofErr w:type="gramStart"/>
      <w:r>
        <w:rPr>
          <w:sz w:val="24"/>
          <w:u w:val="single"/>
        </w:rPr>
        <w:t>Revenue sources</w:t>
      </w:r>
      <w:r>
        <w:rPr>
          <w:sz w:val="24"/>
        </w:rPr>
        <w:t>.</w:t>
      </w:r>
      <w:proofErr w:type="gramEnd"/>
      <w:r>
        <w:rPr>
          <w:sz w:val="24"/>
        </w:rPr>
        <w:t xml:space="preserve"> Charter schools have no taxable property and are funded almost entirely by the state (78%), although they also receive some federal funding (11%) and funding from local sources (11%). Charter schools do not have the authority to impose taxes; thus, all of their local funding comes primarily from grants and donations.</w:t>
      </w:r>
    </w:p>
    <w:p w:rsidR="001C1946" w:rsidRDefault="001C1946">
      <w:pPr>
        <w:rPr>
          <w:sz w:val="24"/>
        </w:rPr>
      </w:pPr>
    </w:p>
    <w:p w:rsidR="001C1946" w:rsidRDefault="001C1946">
      <w:pPr>
        <w:rPr>
          <w:sz w:val="24"/>
        </w:rPr>
      </w:pPr>
      <w:proofErr w:type="gramStart"/>
      <w:r>
        <w:rPr>
          <w:sz w:val="24"/>
          <w:u w:val="single"/>
        </w:rPr>
        <w:t>Per-pupil operating expenditures</w:t>
      </w:r>
      <w:r>
        <w:rPr>
          <w:sz w:val="24"/>
        </w:rPr>
        <w:t>.</w:t>
      </w:r>
      <w:proofErr w:type="gramEnd"/>
      <w:r>
        <w:rPr>
          <w:sz w:val="24"/>
        </w:rPr>
        <w:t xml:space="preserve"> Total operating expenditures per pupil for charter schools ($5,671) are less than the state average for traditional public schools ($6,354). Likewise, per-pupil instructional expenditures for charter schools ($3,045) are somewhat less than average state expenditures ($3,376). </w:t>
      </w:r>
    </w:p>
    <w:p w:rsidR="001C1946" w:rsidRDefault="001C1946">
      <w:pPr>
        <w:rPr>
          <w:sz w:val="24"/>
        </w:rPr>
      </w:pPr>
    </w:p>
    <w:p w:rsidR="001C1946" w:rsidRDefault="001C1946">
      <w:pPr>
        <w:rPr>
          <w:sz w:val="24"/>
        </w:rPr>
      </w:pPr>
      <w:proofErr w:type="gramStart"/>
      <w:r>
        <w:rPr>
          <w:sz w:val="24"/>
          <w:u w:val="single"/>
        </w:rPr>
        <w:t>Program expenditures</w:t>
      </w:r>
      <w:r>
        <w:rPr>
          <w:sz w:val="24"/>
        </w:rPr>
        <w:t>.</w:t>
      </w:r>
      <w:proofErr w:type="gramEnd"/>
      <w:r>
        <w:rPr>
          <w:sz w:val="24"/>
        </w:rPr>
        <w:t xml:space="preserve"> The percentage of charter school expenditures for regular education (95%) is greater than the state average for all districts (71%), whereas the percentage of expenditures for special education is less (6% versus 12%). This is reasonable given the small percentage of students in charter schools receiving special education services.</w:t>
      </w:r>
    </w:p>
    <w:p w:rsidR="001C1946" w:rsidRDefault="001C1946">
      <w:pPr>
        <w:rPr>
          <w:sz w:val="24"/>
        </w:rPr>
      </w:pPr>
    </w:p>
    <w:p w:rsidR="001C1946" w:rsidRDefault="001C1946">
      <w:proofErr w:type="gramStart"/>
      <w:r>
        <w:rPr>
          <w:sz w:val="24"/>
          <w:u w:val="single"/>
        </w:rPr>
        <w:t>Fund balance</w:t>
      </w:r>
      <w:r>
        <w:rPr>
          <w:sz w:val="24"/>
        </w:rPr>
        <w:t>.</w:t>
      </w:r>
      <w:proofErr w:type="gramEnd"/>
      <w:r>
        <w:rPr>
          <w:sz w:val="24"/>
        </w:rPr>
        <w:t xml:space="preserve"> Charter schools report a 5% fund balance compared with the state average of 14%. It should be noted, however, that Generation 1 schools maintain a larger fund balance (10%) than Generation 2 schools (5%). For all charter schools, however, the small fund balances indicate that little money is available for unexpected expenses.</w:t>
      </w:r>
    </w:p>
    <w:p w:rsidR="001C1946" w:rsidRDefault="001C1946">
      <w:pPr>
        <w:pStyle w:val="Heading2"/>
        <w:spacing w:before="240"/>
        <w:rPr>
          <w:i/>
          <w:iCs/>
        </w:rPr>
      </w:pPr>
      <w:r>
        <w:rPr>
          <w:i/>
          <w:iCs/>
        </w:rPr>
        <w:t>School-Level Performance of Charter Schools</w:t>
      </w:r>
    </w:p>
    <w:p w:rsidR="001C1946" w:rsidRDefault="001C1946">
      <w:pPr>
        <w:jc w:val="center"/>
        <w:rPr>
          <w:b/>
          <w:bCs/>
        </w:rPr>
      </w:pPr>
    </w:p>
    <w:p w:rsidR="001C1946" w:rsidRDefault="001C1946">
      <w:pPr>
        <w:rPr>
          <w:sz w:val="24"/>
        </w:rPr>
      </w:pPr>
      <w:r>
        <w:rPr>
          <w:sz w:val="24"/>
          <w:u w:val="single"/>
        </w:rPr>
        <w:t>Traditional public schools outperform charter schools on school accountability ratings.</w:t>
      </w:r>
      <w:r>
        <w:rPr>
          <w:sz w:val="24"/>
        </w:rPr>
        <w:t xml:space="preserve"> Based on AEIS annual accountability ratings, traditional public schools outperform charter schools on both primary (as shown in Table 1) and alternative education rating categories.</w:t>
      </w:r>
    </w:p>
    <w:p w:rsidR="001C1946" w:rsidRDefault="001C1946">
      <w:pPr>
        <w:pStyle w:val="Header"/>
        <w:tabs>
          <w:tab w:val="clear" w:pos="4320"/>
          <w:tab w:val="clear" w:pos="8640"/>
        </w:tabs>
        <w:rPr>
          <w:szCs w:val="24"/>
        </w:rPr>
      </w:pPr>
    </w:p>
    <w:p w:rsidR="001C1946" w:rsidRDefault="001C1946">
      <w:pPr>
        <w:numPr>
          <w:ilvl w:val="0"/>
          <w:numId w:val="5"/>
        </w:numPr>
        <w:spacing w:after="120"/>
        <w:rPr>
          <w:sz w:val="24"/>
        </w:rPr>
      </w:pPr>
      <w:r>
        <w:rPr>
          <w:i/>
          <w:iCs/>
          <w:sz w:val="24"/>
        </w:rPr>
        <w:t>Primary Accountability Ratings</w:t>
      </w:r>
      <w:r>
        <w:rPr>
          <w:sz w:val="24"/>
        </w:rPr>
        <w:t xml:space="preserve">. Of the 66 charter schools rated in 2000, the majority received Acceptable (52%) or Low-performing (30%) ratings, with smaller percentages of schools achieving Exemplary (8%) or </w:t>
      </w:r>
      <w:proofErr w:type="gramStart"/>
      <w:r>
        <w:rPr>
          <w:sz w:val="24"/>
        </w:rPr>
        <w:t>Recognized</w:t>
      </w:r>
      <w:proofErr w:type="gramEnd"/>
      <w:r>
        <w:rPr>
          <w:sz w:val="24"/>
        </w:rPr>
        <w:t xml:space="preserve"> (11%) status. In contrast, the vast majority of traditional public schools received </w:t>
      </w:r>
      <w:proofErr w:type="gramStart"/>
      <w:r>
        <w:rPr>
          <w:sz w:val="24"/>
        </w:rPr>
        <w:t>either Exemplary</w:t>
      </w:r>
      <w:proofErr w:type="gramEnd"/>
      <w:r>
        <w:rPr>
          <w:sz w:val="24"/>
        </w:rPr>
        <w:t xml:space="preserve"> (20%), Recognized (32%), or Acceptable (46%) ratings.</w:t>
      </w:r>
    </w:p>
    <w:p w:rsidR="001C1946" w:rsidRDefault="001C1946">
      <w:pPr>
        <w:pStyle w:val="Heading3"/>
        <w:numPr>
          <w:ilvl w:val="0"/>
          <w:numId w:val="5"/>
        </w:numPr>
        <w:rPr>
          <w:u w:val="none"/>
        </w:rPr>
      </w:pPr>
      <w:proofErr w:type="gramStart"/>
      <w:r>
        <w:rPr>
          <w:i/>
          <w:iCs/>
          <w:u w:val="none"/>
        </w:rPr>
        <w:t>Alternative Education Ratings</w:t>
      </w:r>
      <w:r>
        <w:rPr>
          <w:u w:val="none"/>
        </w:rPr>
        <w:t>.</w:t>
      </w:r>
      <w:proofErr w:type="gramEnd"/>
      <w:r>
        <w:rPr>
          <w:u w:val="none"/>
        </w:rPr>
        <w:t xml:space="preserve"> For 2000, 33 charter schools received ratings of either Acceptable (27%) or Needs Review (73%). Conversely, most traditional public schools were rated as Commended (2%) or Acceptable (88%), with a small percentage receiving Needs Review ratings (11%).</w:t>
      </w:r>
    </w:p>
    <w:p w:rsidR="001C1946" w:rsidRDefault="001C1946">
      <w:pPr>
        <w:pStyle w:val="BodyText"/>
        <w:rPr>
          <w:sz w:val="22"/>
        </w:rPr>
      </w:pPr>
    </w:p>
    <w:p w:rsidR="001C1946" w:rsidRDefault="001C1946">
      <w:pPr>
        <w:pStyle w:val="BodyText"/>
        <w:rPr>
          <w:sz w:val="22"/>
        </w:rPr>
      </w:pPr>
      <w:proofErr w:type="gramStart"/>
      <w:r>
        <w:rPr>
          <w:sz w:val="22"/>
        </w:rPr>
        <w:t>Table 1.</w:t>
      </w:r>
      <w:proofErr w:type="gramEnd"/>
      <w:r>
        <w:rPr>
          <w:sz w:val="22"/>
        </w:rPr>
        <w:t xml:space="preserve"> Charter and Traditional Public School Performance (1998 to 2000), Primary Accountability Ratings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28"/>
        <w:gridCol w:w="1152"/>
        <w:gridCol w:w="1152"/>
        <w:gridCol w:w="1152"/>
        <w:gridCol w:w="1152"/>
        <w:gridCol w:w="1152"/>
        <w:gridCol w:w="1152"/>
      </w:tblGrid>
      <w:tr w:rsidR="001C1946">
        <w:tblPrEx>
          <w:tblCellMar>
            <w:top w:w="0" w:type="dxa"/>
            <w:bottom w:w="0" w:type="dxa"/>
          </w:tblCellMar>
        </w:tblPrEx>
        <w:trPr>
          <w:cantSplit/>
        </w:trPr>
        <w:tc>
          <w:tcPr>
            <w:tcW w:w="1728" w:type="dxa"/>
            <w:vMerge w:val="restart"/>
            <w:shd w:val="clear" w:color="auto" w:fill="E0E0E0"/>
            <w:vAlign w:val="bottom"/>
          </w:tcPr>
          <w:p w:rsidR="001C1946" w:rsidRDefault="001C1946">
            <w:pPr>
              <w:rPr>
                <w:b/>
                <w:sz w:val="22"/>
              </w:rPr>
            </w:pPr>
            <w:r>
              <w:rPr>
                <w:b/>
                <w:sz w:val="22"/>
              </w:rPr>
              <w:t>Rating</w:t>
            </w:r>
          </w:p>
        </w:tc>
        <w:tc>
          <w:tcPr>
            <w:tcW w:w="2304" w:type="dxa"/>
            <w:gridSpan w:val="2"/>
            <w:shd w:val="clear" w:color="auto" w:fill="E0E0E0"/>
          </w:tcPr>
          <w:p w:rsidR="001C1946" w:rsidRDefault="001C1946">
            <w:pPr>
              <w:jc w:val="center"/>
              <w:rPr>
                <w:b/>
                <w:sz w:val="22"/>
              </w:rPr>
            </w:pPr>
            <w:r>
              <w:rPr>
                <w:b/>
                <w:sz w:val="22"/>
              </w:rPr>
              <w:t>1998</w:t>
            </w:r>
          </w:p>
        </w:tc>
        <w:tc>
          <w:tcPr>
            <w:tcW w:w="2304" w:type="dxa"/>
            <w:gridSpan w:val="2"/>
            <w:shd w:val="clear" w:color="auto" w:fill="E0E0E0"/>
          </w:tcPr>
          <w:p w:rsidR="001C1946" w:rsidRDefault="001C1946">
            <w:pPr>
              <w:jc w:val="center"/>
              <w:rPr>
                <w:b/>
                <w:sz w:val="22"/>
              </w:rPr>
            </w:pPr>
            <w:r>
              <w:rPr>
                <w:b/>
                <w:sz w:val="22"/>
              </w:rPr>
              <w:t>1999</w:t>
            </w:r>
          </w:p>
        </w:tc>
        <w:tc>
          <w:tcPr>
            <w:tcW w:w="2304" w:type="dxa"/>
            <w:gridSpan w:val="2"/>
            <w:shd w:val="clear" w:color="auto" w:fill="E0E0E0"/>
          </w:tcPr>
          <w:p w:rsidR="001C1946" w:rsidRDefault="001C1946">
            <w:pPr>
              <w:jc w:val="center"/>
              <w:rPr>
                <w:b/>
                <w:sz w:val="22"/>
              </w:rPr>
            </w:pPr>
            <w:r>
              <w:rPr>
                <w:b/>
                <w:sz w:val="22"/>
              </w:rPr>
              <w:t>2000</w:t>
            </w:r>
          </w:p>
        </w:tc>
      </w:tr>
      <w:tr w:rsidR="001C1946">
        <w:tblPrEx>
          <w:tblCellMar>
            <w:top w:w="0" w:type="dxa"/>
            <w:bottom w:w="0" w:type="dxa"/>
          </w:tblCellMar>
        </w:tblPrEx>
        <w:trPr>
          <w:cantSplit/>
        </w:trPr>
        <w:tc>
          <w:tcPr>
            <w:tcW w:w="1728" w:type="dxa"/>
            <w:vMerge/>
            <w:shd w:val="clear" w:color="auto" w:fill="E0E0E0"/>
          </w:tcPr>
          <w:p w:rsidR="001C1946" w:rsidRDefault="001C1946">
            <w:pPr>
              <w:jc w:val="center"/>
              <w:rPr>
                <w:b/>
                <w:sz w:val="22"/>
              </w:rPr>
            </w:pPr>
          </w:p>
        </w:tc>
        <w:tc>
          <w:tcPr>
            <w:tcW w:w="1152" w:type="dxa"/>
            <w:shd w:val="clear" w:color="auto" w:fill="E0E0E0"/>
          </w:tcPr>
          <w:p w:rsidR="001C1946" w:rsidRDefault="001C1946">
            <w:pPr>
              <w:jc w:val="center"/>
              <w:rPr>
                <w:b/>
                <w:sz w:val="22"/>
              </w:rPr>
            </w:pPr>
            <w:r>
              <w:rPr>
                <w:b/>
                <w:sz w:val="22"/>
              </w:rPr>
              <w:t>Charter (N=10)</w:t>
            </w:r>
          </w:p>
        </w:tc>
        <w:tc>
          <w:tcPr>
            <w:tcW w:w="1152" w:type="dxa"/>
            <w:shd w:val="clear" w:color="auto" w:fill="E0E0E0"/>
            <w:vAlign w:val="bottom"/>
          </w:tcPr>
          <w:p w:rsidR="001C1946" w:rsidRDefault="001C1946">
            <w:pPr>
              <w:jc w:val="center"/>
              <w:rPr>
                <w:b/>
                <w:sz w:val="22"/>
              </w:rPr>
            </w:pPr>
            <w:r>
              <w:rPr>
                <w:b/>
                <w:sz w:val="22"/>
              </w:rPr>
              <w:t>Public</w:t>
            </w:r>
          </w:p>
        </w:tc>
        <w:tc>
          <w:tcPr>
            <w:tcW w:w="1152" w:type="dxa"/>
            <w:shd w:val="clear" w:color="auto" w:fill="E0E0E0"/>
          </w:tcPr>
          <w:p w:rsidR="001C1946" w:rsidRDefault="001C1946">
            <w:pPr>
              <w:jc w:val="center"/>
              <w:rPr>
                <w:b/>
                <w:sz w:val="22"/>
              </w:rPr>
            </w:pPr>
            <w:r>
              <w:rPr>
                <w:b/>
                <w:sz w:val="22"/>
              </w:rPr>
              <w:t>Charter (N=15)</w:t>
            </w:r>
          </w:p>
        </w:tc>
        <w:tc>
          <w:tcPr>
            <w:tcW w:w="1152" w:type="dxa"/>
            <w:shd w:val="clear" w:color="auto" w:fill="E0E0E0"/>
            <w:vAlign w:val="bottom"/>
          </w:tcPr>
          <w:p w:rsidR="001C1946" w:rsidRDefault="001C1946">
            <w:pPr>
              <w:jc w:val="center"/>
              <w:rPr>
                <w:b/>
                <w:sz w:val="22"/>
              </w:rPr>
            </w:pPr>
            <w:r>
              <w:rPr>
                <w:b/>
                <w:sz w:val="22"/>
              </w:rPr>
              <w:t>Public</w:t>
            </w:r>
          </w:p>
        </w:tc>
        <w:tc>
          <w:tcPr>
            <w:tcW w:w="1152" w:type="dxa"/>
            <w:shd w:val="clear" w:color="auto" w:fill="E0E0E0"/>
          </w:tcPr>
          <w:p w:rsidR="001C1946" w:rsidRDefault="001C1946">
            <w:pPr>
              <w:jc w:val="center"/>
              <w:rPr>
                <w:b/>
                <w:sz w:val="22"/>
              </w:rPr>
            </w:pPr>
            <w:r>
              <w:rPr>
                <w:b/>
                <w:sz w:val="22"/>
              </w:rPr>
              <w:t>Charter</w:t>
            </w:r>
          </w:p>
          <w:p w:rsidR="001C1946" w:rsidRDefault="001C1946">
            <w:pPr>
              <w:jc w:val="center"/>
              <w:rPr>
                <w:b/>
                <w:sz w:val="22"/>
              </w:rPr>
            </w:pPr>
            <w:r>
              <w:rPr>
                <w:b/>
                <w:sz w:val="22"/>
              </w:rPr>
              <w:t>(N=66)</w:t>
            </w:r>
          </w:p>
        </w:tc>
        <w:tc>
          <w:tcPr>
            <w:tcW w:w="1152" w:type="dxa"/>
            <w:shd w:val="clear" w:color="auto" w:fill="E0E0E0"/>
            <w:vAlign w:val="bottom"/>
          </w:tcPr>
          <w:p w:rsidR="001C1946" w:rsidRDefault="001C1946">
            <w:pPr>
              <w:jc w:val="center"/>
              <w:rPr>
                <w:b/>
                <w:sz w:val="22"/>
              </w:rPr>
            </w:pPr>
            <w:r>
              <w:rPr>
                <w:b/>
                <w:sz w:val="22"/>
              </w:rPr>
              <w:t>Public</w:t>
            </w:r>
          </w:p>
        </w:tc>
      </w:tr>
      <w:tr w:rsidR="001C1946">
        <w:tblPrEx>
          <w:tblCellMar>
            <w:top w:w="0" w:type="dxa"/>
            <w:bottom w:w="0" w:type="dxa"/>
          </w:tblCellMar>
        </w:tblPrEx>
        <w:tc>
          <w:tcPr>
            <w:tcW w:w="1728" w:type="dxa"/>
          </w:tcPr>
          <w:p w:rsidR="001C1946" w:rsidRDefault="001C1946">
            <w:pPr>
              <w:rPr>
                <w:sz w:val="22"/>
              </w:rPr>
            </w:pPr>
            <w:r>
              <w:rPr>
                <w:sz w:val="22"/>
              </w:rPr>
              <w:t>Exemplary</w:t>
            </w:r>
          </w:p>
        </w:tc>
        <w:tc>
          <w:tcPr>
            <w:tcW w:w="1152" w:type="dxa"/>
            <w:vAlign w:val="center"/>
          </w:tcPr>
          <w:p w:rsidR="001C1946" w:rsidRDefault="001C1946">
            <w:pPr>
              <w:ind w:right="288"/>
              <w:jc w:val="right"/>
              <w:rPr>
                <w:sz w:val="22"/>
              </w:rPr>
            </w:pPr>
            <w:r>
              <w:rPr>
                <w:sz w:val="22"/>
              </w:rPr>
              <w:t>0%</w:t>
            </w:r>
          </w:p>
        </w:tc>
        <w:tc>
          <w:tcPr>
            <w:tcW w:w="1152" w:type="dxa"/>
            <w:vAlign w:val="center"/>
          </w:tcPr>
          <w:p w:rsidR="001C1946" w:rsidRDefault="001C1946">
            <w:pPr>
              <w:ind w:right="288"/>
              <w:jc w:val="right"/>
              <w:rPr>
                <w:sz w:val="22"/>
              </w:rPr>
            </w:pPr>
            <w:r>
              <w:rPr>
                <w:sz w:val="22"/>
              </w:rPr>
              <w:t>17%</w:t>
            </w:r>
          </w:p>
        </w:tc>
        <w:tc>
          <w:tcPr>
            <w:tcW w:w="1152" w:type="dxa"/>
            <w:vAlign w:val="center"/>
          </w:tcPr>
          <w:p w:rsidR="001C1946" w:rsidRDefault="001C1946">
            <w:pPr>
              <w:ind w:right="288"/>
              <w:jc w:val="right"/>
              <w:rPr>
                <w:sz w:val="22"/>
              </w:rPr>
            </w:pPr>
            <w:r>
              <w:rPr>
                <w:sz w:val="22"/>
              </w:rPr>
              <w:t>13%</w:t>
            </w:r>
          </w:p>
        </w:tc>
        <w:tc>
          <w:tcPr>
            <w:tcW w:w="1152" w:type="dxa"/>
            <w:vAlign w:val="center"/>
          </w:tcPr>
          <w:p w:rsidR="001C1946" w:rsidRDefault="001C1946">
            <w:pPr>
              <w:ind w:right="288"/>
              <w:jc w:val="right"/>
              <w:rPr>
                <w:sz w:val="22"/>
              </w:rPr>
            </w:pPr>
            <w:r>
              <w:rPr>
                <w:sz w:val="22"/>
              </w:rPr>
              <w:t>18%</w:t>
            </w:r>
          </w:p>
        </w:tc>
        <w:tc>
          <w:tcPr>
            <w:tcW w:w="1152" w:type="dxa"/>
            <w:vAlign w:val="center"/>
          </w:tcPr>
          <w:p w:rsidR="001C1946" w:rsidRDefault="001C1946">
            <w:pPr>
              <w:ind w:right="288"/>
              <w:jc w:val="right"/>
              <w:rPr>
                <w:sz w:val="22"/>
              </w:rPr>
            </w:pPr>
            <w:r>
              <w:rPr>
                <w:sz w:val="22"/>
              </w:rPr>
              <w:t>8%</w:t>
            </w:r>
          </w:p>
        </w:tc>
        <w:tc>
          <w:tcPr>
            <w:tcW w:w="1152" w:type="dxa"/>
            <w:vAlign w:val="center"/>
          </w:tcPr>
          <w:p w:rsidR="001C1946" w:rsidRDefault="001C1946">
            <w:pPr>
              <w:ind w:right="288"/>
              <w:jc w:val="right"/>
              <w:rPr>
                <w:sz w:val="22"/>
              </w:rPr>
            </w:pPr>
            <w:r>
              <w:rPr>
                <w:sz w:val="22"/>
              </w:rPr>
              <w:t>20%</w:t>
            </w:r>
          </w:p>
        </w:tc>
      </w:tr>
      <w:tr w:rsidR="001C1946">
        <w:tblPrEx>
          <w:tblCellMar>
            <w:top w:w="0" w:type="dxa"/>
            <w:bottom w:w="0" w:type="dxa"/>
          </w:tblCellMar>
        </w:tblPrEx>
        <w:tc>
          <w:tcPr>
            <w:tcW w:w="1728" w:type="dxa"/>
          </w:tcPr>
          <w:p w:rsidR="001C1946" w:rsidRDefault="001C1946">
            <w:pPr>
              <w:rPr>
                <w:sz w:val="22"/>
              </w:rPr>
            </w:pPr>
            <w:r>
              <w:rPr>
                <w:sz w:val="22"/>
              </w:rPr>
              <w:t>Recognized</w:t>
            </w:r>
          </w:p>
        </w:tc>
        <w:tc>
          <w:tcPr>
            <w:tcW w:w="1152" w:type="dxa"/>
            <w:vAlign w:val="center"/>
          </w:tcPr>
          <w:p w:rsidR="001C1946" w:rsidRDefault="001C1946">
            <w:pPr>
              <w:ind w:right="288"/>
              <w:jc w:val="right"/>
              <w:rPr>
                <w:sz w:val="22"/>
              </w:rPr>
            </w:pPr>
            <w:r>
              <w:rPr>
                <w:sz w:val="22"/>
              </w:rPr>
              <w:t>10%</w:t>
            </w:r>
          </w:p>
        </w:tc>
        <w:tc>
          <w:tcPr>
            <w:tcW w:w="1152" w:type="dxa"/>
            <w:vAlign w:val="center"/>
          </w:tcPr>
          <w:p w:rsidR="001C1946" w:rsidRDefault="001C1946">
            <w:pPr>
              <w:ind w:right="288"/>
              <w:jc w:val="right"/>
              <w:rPr>
                <w:sz w:val="22"/>
              </w:rPr>
            </w:pPr>
            <w:r>
              <w:rPr>
                <w:sz w:val="22"/>
              </w:rPr>
              <w:t>27%</w:t>
            </w:r>
          </w:p>
        </w:tc>
        <w:tc>
          <w:tcPr>
            <w:tcW w:w="1152" w:type="dxa"/>
            <w:vAlign w:val="center"/>
          </w:tcPr>
          <w:p w:rsidR="001C1946" w:rsidRDefault="001C1946">
            <w:pPr>
              <w:ind w:right="288"/>
              <w:jc w:val="right"/>
              <w:rPr>
                <w:sz w:val="22"/>
              </w:rPr>
            </w:pPr>
            <w:r>
              <w:rPr>
                <w:sz w:val="22"/>
              </w:rPr>
              <w:t>20%</w:t>
            </w:r>
          </w:p>
        </w:tc>
        <w:tc>
          <w:tcPr>
            <w:tcW w:w="1152" w:type="dxa"/>
            <w:vAlign w:val="center"/>
          </w:tcPr>
          <w:p w:rsidR="001C1946" w:rsidRDefault="001C1946">
            <w:pPr>
              <w:ind w:right="288"/>
              <w:jc w:val="right"/>
              <w:rPr>
                <w:sz w:val="22"/>
              </w:rPr>
            </w:pPr>
            <w:r>
              <w:rPr>
                <w:sz w:val="22"/>
              </w:rPr>
              <w:t>30%</w:t>
            </w:r>
          </w:p>
        </w:tc>
        <w:tc>
          <w:tcPr>
            <w:tcW w:w="1152" w:type="dxa"/>
            <w:vAlign w:val="center"/>
          </w:tcPr>
          <w:p w:rsidR="001C1946" w:rsidRDefault="001C1946">
            <w:pPr>
              <w:ind w:right="288"/>
              <w:jc w:val="right"/>
              <w:rPr>
                <w:sz w:val="22"/>
              </w:rPr>
            </w:pPr>
            <w:r>
              <w:rPr>
                <w:sz w:val="22"/>
              </w:rPr>
              <w:t>11%</w:t>
            </w:r>
          </w:p>
        </w:tc>
        <w:tc>
          <w:tcPr>
            <w:tcW w:w="1152" w:type="dxa"/>
            <w:vAlign w:val="center"/>
          </w:tcPr>
          <w:p w:rsidR="001C1946" w:rsidRDefault="001C1946">
            <w:pPr>
              <w:ind w:right="288"/>
              <w:jc w:val="right"/>
              <w:rPr>
                <w:sz w:val="22"/>
              </w:rPr>
            </w:pPr>
            <w:r>
              <w:rPr>
                <w:sz w:val="22"/>
              </w:rPr>
              <w:t>32%</w:t>
            </w:r>
          </w:p>
        </w:tc>
      </w:tr>
      <w:tr w:rsidR="001C1946">
        <w:tblPrEx>
          <w:tblCellMar>
            <w:top w:w="0" w:type="dxa"/>
            <w:bottom w:w="0" w:type="dxa"/>
          </w:tblCellMar>
        </w:tblPrEx>
        <w:tc>
          <w:tcPr>
            <w:tcW w:w="1728" w:type="dxa"/>
          </w:tcPr>
          <w:p w:rsidR="001C1946" w:rsidRDefault="001C1946">
            <w:pPr>
              <w:rPr>
                <w:sz w:val="22"/>
              </w:rPr>
            </w:pPr>
            <w:r>
              <w:rPr>
                <w:sz w:val="22"/>
              </w:rPr>
              <w:t>Acceptable</w:t>
            </w:r>
          </w:p>
        </w:tc>
        <w:tc>
          <w:tcPr>
            <w:tcW w:w="1152" w:type="dxa"/>
            <w:vAlign w:val="center"/>
          </w:tcPr>
          <w:p w:rsidR="001C1946" w:rsidRDefault="001C1946">
            <w:pPr>
              <w:ind w:right="288"/>
              <w:jc w:val="right"/>
              <w:rPr>
                <w:sz w:val="22"/>
              </w:rPr>
            </w:pPr>
            <w:r>
              <w:rPr>
                <w:sz w:val="22"/>
              </w:rPr>
              <w:t>70%</w:t>
            </w:r>
          </w:p>
        </w:tc>
        <w:tc>
          <w:tcPr>
            <w:tcW w:w="1152" w:type="dxa"/>
            <w:vAlign w:val="center"/>
          </w:tcPr>
          <w:p w:rsidR="001C1946" w:rsidRDefault="001C1946">
            <w:pPr>
              <w:ind w:right="288"/>
              <w:jc w:val="right"/>
              <w:rPr>
                <w:sz w:val="22"/>
              </w:rPr>
            </w:pPr>
            <w:r>
              <w:rPr>
                <w:sz w:val="22"/>
              </w:rPr>
              <w:t>55%</w:t>
            </w:r>
          </w:p>
        </w:tc>
        <w:tc>
          <w:tcPr>
            <w:tcW w:w="1152" w:type="dxa"/>
            <w:vAlign w:val="center"/>
          </w:tcPr>
          <w:p w:rsidR="001C1946" w:rsidRDefault="001C1946">
            <w:pPr>
              <w:ind w:right="288"/>
              <w:jc w:val="right"/>
              <w:rPr>
                <w:sz w:val="22"/>
              </w:rPr>
            </w:pPr>
            <w:r>
              <w:rPr>
                <w:sz w:val="22"/>
              </w:rPr>
              <w:t>47%</w:t>
            </w:r>
          </w:p>
        </w:tc>
        <w:tc>
          <w:tcPr>
            <w:tcW w:w="1152" w:type="dxa"/>
            <w:vAlign w:val="center"/>
          </w:tcPr>
          <w:p w:rsidR="001C1946" w:rsidRDefault="001C1946">
            <w:pPr>
              <w:ind w:right="288"/>
              <w:jc w:val="right"/>
              <w:rPr>
                <w:sz w:val="22"/>
              </w:rPr>
            </w:pPr>
            <w:r>
              <w:rPr>
                <w:sz w:val="22"/>
              </w:rPr>
              <w:t>51%</w:t>
            </w:r>
          </w:p>
        </w:tc>
        <w:tc>
          <w:tcPr>
            <w:tcW w:w="1152" w:type="dxa"/>
            <w:vAlign w:val="center"/>
          </w:tcPr>
          <w:p w:rsidR="001C1946" w:rsidRDefault="001C1946">
            <w:pPr>
              <w:ind w:right="288"/>
              <w:jc w:val="right"/>
              <w:rPr>
                <w:sz w:val="22"/>
              </w:rPr>
            </w:pPr>
            <w:r>
              <w:rPr>
                <w:sz w:val="22"/>
              </w:rPr>
              <w:t>52%</w:t>
            </w:r>
          </w:p>
        </w:tc>
        <w:tc>
          <w:tcPr>
            <w:tcW w:w="1152" w:type="dxa"/>
            <w:vAlign w:val="center"/>
          </w:tcPr>
          <w:p w:rsidR="001C1946" w:rsidRDefault="001C1946">
            <w:pPr>
              <w:ind w:right="288"/>
              <w:jc w:val="right"/>
              <w:rPr>
                <w:sz w:val="22"/>
              </w:rPr>
            </w:pPr>
            <w:r>
              <w:rPr>
                <w:sz w:val="22"/>
              </w:rPr>
              <w:t>46%</w:t>
            </w:r>
          </w:p>
        </w:tc>
      </w:tr>
      <w:tr w:rsidR="001C1946">
        <w:tblPrEx>
          <w:tblCellMar>
            <w:top w:w="0" w:type="dxa"/>
            <w:bottom w:w="0" w:type="dxa"/>
          </w:tblCellMar>
        </w:tblPrEx>
        <w:tc>
          <w:tcPr>
            <w:tcW w:w="1728" w:type="dxa"/>
          </w:tcPr>
          <w:p w:rsidR="001C1946" w:rsidRDefault="001C1946">
            <w:pPr>
              <w:rPr>
                <w:sz w:val="22"/>
              </w:rPr>
            </w:pPr>
            <w:r>
              <w:rPr>
                <w:sz w:val="22"/>
              </w:rPr>
              <w:t>Low-performing</w:t>
            </w:r>
          </w:p>
        </w:tc>
        <w:tc>
          <w:tcPr>
            <w:tcW w:w="1152" w:type="dxa"/>
            <w:vAlign w:val="center"/>
          </w:tcPr>
          <w:p w:rsidR="001C1946" w:rsidRDefault="001C1946">
            <w:pPr>
              <w:ind w:right="288"/>
              <w:jc w:val="right"/>
              <w:rPr>
                <w:sz w:val="22"/>
              </w:rPr>
            </w:pPr>
            <w:r>
              <w:rPr>
                <w:sz w:val="22"/>
              </w:rPr>
              <w:t>20%</w:t>
            </w:r>
          </w:p>
        </w:tc>
        <w:tc>
          <w:tcPr>
            <w:tcW w:w="1152" w:type="dxa"/>
            <w:vAlign w:val="center"/>
          </w:tcPr>
          <w:p w:rsidR="001C1946" w:rsidRDefault="001C1946">
            <w:pPr>
              <w:ind w:right="288"/>
              <w:jc w:val="right"/>
              <w:rPr>
                <w:sz w:val="22"/>
              </w:rPr>
            </w:pPr>
            <w:r>
              <w:rPr>
                <w:sz w:val="22"/>
              </w:rPr>
              <w:t>1%</w:t>
            </w:r>
          </w:p>
        </w:tc>
        <w:tc>
          <w:tcPr>
            <w:tcW w:w="1152" w:type="dxa"/>
            <w:vAlign w:val="center"/>
          </w:tcPr>
          <w:p w:rsidR="001C1946" w:rsidRDefault="001C1946">
            <w:pPr>
              <w:ind w:right="288"/>
              <w:jc w:val="right"/>
              <w:rPr>
                <w:sz w:val="22"/>
              </w:rPr>
            </w:pPr>
            <w:r>
              <w:rPr>
                <w:sz w:val="22"/>
              </w:rPr>
              <w:t>20%</w:t>
            </w:r>
          </w:p>
        </w:tc>
        <w:tc>
          <w:tcPr>
            <w:tcW w:w="1152" w:type="dxa"/>
            <w:vAlign w:val="center"/>
          </w:tcPr>
          <w:p w:rsidR="001C1946" w:rsidRDefault="001C1946">
            <w:pPr>
              <w:ind w:right="288"/>
              <w:jc w:val="right"/>
              <w:rPr>
                <w:sz w:val="22"/>
              </w:rPr>
            </w:pPr>
            <w:r>
              <w:rPr>
                <w:sz w:val="22"/>
              </w:rPr>
              <w:t>2%</w:t>
            </w:r>
          </w:p>
        </w:tc>
        <w:tc>
          <w:tcPr>
            <w:tcW w:w="1152" w:type="dxa"/>
            <w:vAlign w:val="center"/>
          </w:tcPr>
          <w:p w:rsidR="001C1946" w:rsidRDefault="001C1946">
            <w:pPr>
              <w:ind w:right="288"/>
              <w:jc w:val="right"/>
              <w:rPr>
                <w:sz w:val="22"/>
              </w:rPr>
            </w:pPr>
            <w:r>
              <w:rPr>
                <w:sz w:val="22"/>
              </w:rPr>
              <w:t>30%</w:t>
            </w:r>
          </w:p>
        </w:tc>
        <w:tc>
          <w:tcPr>
            <w:tcW w:w="1152" w:type="dxa"/>
            <w:vAlign w:val="center"/>
          </w:tcPr>
          <w:p w:rsidR="001C1946" w:rsidRDefault="001C1946">
            <w:pPr>
              <w:ind w:right="288"/>
              <w:jc w:val="right"/>
              <w:rPr>
                <w:sz w:val="22"/>
              </w:rPr>
            </w:pPr>
            <w:r>
              <w:rPr>
                <w:sz w:val="22"/>
              </w:rPr>
              <w:t>2%</w:t>
            </w:r>
          </w:p>
        </w:tc>
      </w:tr>
    </w:tbl>
    <w:p w:rsidR="001C1946" w:rsidRDefault="001C1946">
      <w:pPr>
        <w:rPr>
          <w:i/>
          <w:sz w:val="18"/>
        </w:rPr>
      </w:pPr>
      <w:proofErr w:type="gramStart"/>
      <w:r>
        <w:rPr>
          <w:i/>
          <w:sz w:val="18"/>
        </w:rPr>
        <w:lastRenderedPageBreak/>
        <w:t>Source.</w:t>
      </w:r>
      <w:proofErr w:type="gramEnd"/>
      <w:r>
        <w:rPr>
          <w:i/>
          <w:sz w:val="18"/>
        </w:rPr>
        <w:t xml:space="preserve"> </w:t>
      </w:r>
      <w:proofErr w:type="gramStart"/>
      <w:r>
        <w:rPr>
          <w:iCs/>
          <w:sz w:val="18"/>
        </w:rPr>
        <w:t>TEA Division of Student Performance Reporting.</w:t>
      </w:r>
      <w:proofErr w:type="gramEnd"/>
      <w:r>
        <w:rPr>
          <w:iCs/>
          <w:sz w:val="18"/>
        </w:rPr>
        <w:t xml:space="preserve"> Schools are rated as campuses</w:t>
      </w:r>
      <w:r>
        <w:rPr>
          <w:i/>
          <w:sz w:val="18"/>
        </w:rPr>
        <w:t>.</w:t>
      </w:r>
    </w:p>
    <w:p w:rsidR="001C1946" w:rsidRDefault="001C1946">
      <w:pPr>
        <w:rPr>
          <w:i/>
          <w:sz w:val="18"/>
        </w:rPr>
      </w:pPr>
      <w:r>
        <w:rPr>
          <w:i/>
          <w:sz w:val="18"/>
        </w:rPr>
        <w:t xml:space="preserve">Note. </w:t>
      </w:r>
      <w:r>
        <w:rPr>
          <w:iCs/>
          <w:sz w:val="18"/>
        </w:rPr>
        <w:t>A small percentage of regular campuses received other ratings related to data quality. Percentages may not add to 100 due to rounding</w:t>
      </w:r>
      <w:r>
        <w:rPr>
          <w:i/>
          <w:sz w:val="18"/>
        </w:rPr>
        <w:t>.</w:t>
      </w:r>
    </w:p>
    <w:p w:rsidR="001C1946" w:rsidRDefault="001C1946">
      <w:pPr>
        <w:rPr>
          <w:i/>
          <w:sz w:val="18"/>
        </w:rPr>
      </w:pPr>
    </w:p>
    <w:p w:rsidR="001C1946" w:rsidRDefault="001C1946">
      <w:pPr>
        <w:numPr>
          <w:ilvl w:val="0"/>
          <w:numId w:val="5"/>
        </w:numPr>
        <w:spacing w:after="120"/>
        <w:rPr>
          <w:sz w:val="24"/>
        </w:rPr>
      </w:pPr>
      <w:r>
        <w:rPr>
          <w:i/>
          <w:iCs/>
          <w:sz w:val="24"/>
        </w:rPr>
        <w:t>Accountability trends</w:t>
      </w:r>
      <w:r>
        <w:rPr>
          <w:sz w:val="24"/>
        </w:rPr>
        <w:t>. Although the increasing number of charter schools each year limits interpretations, findings for 1998 to 2000 show the following trends:</w:t>
      </w:r>
    </w:p>
    <w:p w:rsidR="001C1946" w:rsidRDefault="001C1946">
      <w:pPr>
        <w:numPr>
          <w:ilvl w:val="1"/>
          <w:numId w:val="5"/>
        </w:numPr>
        <w:spacing w:after="120"/>
        <w:rPr>
          <w:sz w:val="24"/>
        </w:rPr>
      </w:pPr>
      <w:r>
        <w:rPr>
          <w:sz w:val="24"/>
        </w:rPr>
        <w:t>The percentage of Low-performing charter schools increased across years (20%, 20%, 30%), whereas percentages in traditional public schools have remained consistently low (1% to 2%); and</w:t>
      </w:r>
    </w:p>
    <w:p w:rsidR="001C1946" w:rsidRDefault="001C1946">
      <w:pPr>
        <w:numPr>
          <w:ilvl w:val="1"/>
          <w:numId w:val="5"/>
        </w:numPr>
        <w:rPr>
          <w:sz w:val="24"/>
        </w:rPr>
      </w:pPr>
      <w:r>
        <w:rPr>
          <w:sz w:val="24"/>
        </w:rPr>
        <w:t>The percentages of charter schools rated as either Exemplary or Recognized have varied (10%, 33%, 19%), while the percentages for traditional public schools have increased (44%, 48%, 52%).</w:t>
      </w:r>
    </w:p>
    <w:p w:rsidR="001C1946" w:rsidRDefault="001C1946">
      <w:pPr>
        <w:rPr>
          <w:sz w:val="24"/>
          <w:u w:val="single"/>
        </w:rPr>
      </w:pPr>
    </w:p>
    <w:p w:rsidR="001C1946" w:rsidRDefault="001C1946">
      <w:r>
        <w:rPr>
          <w:sz w:val="24"/>
          <w:u w:val="single"/>
        </w:rPr>
        <w:t>Charter schools perform below state averages on TAAS</w:t>
      </w:r>
      <w:r>
        <w:rPr>
          <w:sz w:val="24"/>
        </w:rPr>
        <w:t>. As shown in Table 2, TAAS performance in charter schools is lower than the state average in all areas—particularly in mathematics and writing. Moreover, lower performance rates are consistent across all student comparison groups. The gap between minority and economically disadvantaged students and White students (about 20 percentage points) is comparable to the state.</w:t>
      </w:r>
    </w:p>
    <w:p w:rsidR="001C1946" w:rsidRDefault="001C1946">
      <w:pPr>
        <w:rPr>
          <w:b/>
          <w:bCs/>
          <w:u w:val="single"/>
        </w:rPr>
      </w:pPr>
    </w:p>
    <w:p w:rsidR="001C1946" w:rsidRDefault="001C1946">
      <w:pPr>
        <w:pStyle w:val="Header"/>
        <w:keepNext/>
        <w:tabs>
          <w:tab w:val="clear" w:pos="4320"/>
          <w:tab w:val="clear" w:pos="8640"/>
        </w:tabs>
        <w:spacing w:after="60"/>
        <w:outlineLvl w:val="3"/>
        <w:rPr>
          <w:b/>
          <w:sz w:val="22"/>
        </w:rPr>
      </w:pPr>
      <w:proofErr w:type="gramStart"/>
      <w:r>
        <w:rPr>
          <w:b/>
          <w:sz w:val="22"/>
        </w:rPr>
        <w:t>Table 2.</w:t>
      </w:r>
      <w:proofErr w:type="gramEnd"/>
      <w:r>
        <w:rPr>
          <w:b/>
          <w:sz w:val="22"/>
        </w:rPr>
        <w:t xml:space="preserve"> 2000 TAAS Performance for </w:t>
      </w:r>
      <w:smartTag w:uri="urn:schemas-microsoft-com:office:smarttags" w:element="place">
        <w:smartTag w:uri="urn:schemas-microsoft-com:office:smarttags" w:element="PlaceName">
          <w:r>
            <w:rPr>
              <w:b/>
              <w:sz w:val="22"/>
            </w:rPr>
            <w:t>All</w:t>
          </w:r>
        </w:smartTag>
        <w:r>
          <w:rPr>
            <w:b/>
            <w:sz w:val="22"/>
          </w:rPr>
          <w:t xml:space="preserve"> </w:t>
        </w:r>
        <w:smartTag w:uri="urn:schemas-microsoft-com:office:smarttags" w:element="PlaceName">
          <w:r>
            <w:rPr>
              <w:b/>
              <w:sz w:val="22"/>
            </w:rPr>
            <w:t>Charter</w:t>
          </w:r>
        </w:smartTag>
        <w:r>
          <w:rPr>
            <w:b/>
            <w:sz w:val="22"/>
          </w:rPr>
          <w:t xml:space="preserve"> </w:t>
        </w:r>
        <w:smartTag w:uri="urn:schemas-microsoft-com:office:smarttags" w:element="PlaceType">
          <w:r>
            <w:rPr>
              <w:b/>
              <w:sz w:val="22"/>
            </w:rPr>
            <w:t>Schools</w:t>
          </w:r>
        </w:smartTag>
      </w:smartTag>
      <w:r>
        <w:rPr>
          <w:b/>
          <w:sz w:val="22"/>
        </w:rPr>
        <w:t xml:space="preserve"> and State Average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353"/>
        <w:gridCol w:w="1440"/>
        <w:gridCol w:w="1350"/>
        <w:gridCol w:w="1260"/>
      </w:tblGrid>
      <w:tr w:rsidR="001C1946">
        <w:tblPrEx>
          <w:tblCellMar>
            <w:top w:w="0" w:type="dxa"/>
            <w:bottom w:w="0" w:type="dxa"/>
          </w:tblCellMar>
        </w:tblPrEx>
        <w:tc>
          <w:tcPr>
            <w:tcW w:w="3353" w:type="dxa"/>
            <w:tcBorders>
              <w:top w:val="double" w:sz="4" w:space="0" w:color="auto"/>
              <w:left w:val="double" w:sz="4" w:space="0" w:color="auto"/>
              <w:bottom w:val="single" w:sz="6" w:space="0" w:color="auto"/>
            </w:tcBorders>
            <w:shd w:val="clear" w:color="auto" w:fill="E0E0E0"/>
            <w:vAlign w:val="bottom"/>
          </w:tcPr>
          <w:p w:rsidR="001C1946" w:rsidRDefault="001C1946">
            <w:pPr>
              <w:pStyle w:val="Heading6"/>
              <w:jc w:val="left"/>
            </w:pPr>
            <w:r>
              <w:t>Percent of All Students</w:t>
            </w:r>
          </w:p>
          <w:p w:rsidR="001C1946" w:rsidRDefault="001C1946">
            <w:pPr>
              <w:pStyle w:val="Heading6"/>
              <w:jc w:val="left"/>
            </w:pPr>
            <w:r>
              <w:t>Passing TAAS*</w:t>
            </w:r>
          </w:p>
        </w:tc>
        <w:tc>
          <w:tcPr>
            <w:tcW w:w="1440" w:type="dxa"/>
            <w:tcBorders>
              <w:top w:val="double" w:sz="4" w:space="0" w:color="auto"/>
              <w:bottom w:val="single" w:sz="6" w:space="0" w:color="auto"/>
            </w:tcBorders>
            <w:shd w:val="clear" w:color="auto" w:fill="E0E0E0"/>
            <w:vAlign w:val="bottom"/>
          </w:tcPr>
          <w:p w:rsidR="001C1946" w:rsidRDefault="001C1946">
            <w:pPr>
              <w:jc w:val="center"/>
              <w:rPr>
                <w:b/>
                <w:sz w:val="22"/>
              </w:rPr>
            </w:pPr>
            <w:r>
              <w:rPr>
                <w:b/>
                <w:sz w:val="22"/>
              </w:rPr>
              <w:t>Charter Schools</w:t>
            </w:r>
          </w:p>
        </w:tc>
        <w:tc>
          <w:tcPr>
            <w:tcW w:w="1350" w:type="dxa"/>
            <w:tcBorders>
              <w:top w:val="double" w:sz="4" w:space="0" w:color="auto"/>
              <w:bottom w:val="single" w:sz="6" w:space="0" w:color="auto"/>
            </w:tcBorders>
            <w:shd w:val="clear" w:color="auto" w:fill="E0E0E0"/>
            <w:vAlign w:val="bottom"/>
          </w:tcPr>
          <w:p w:rsidR="001C1946" w:rsidRDefault="001C1946">
            <w:pPr>
              <w:jc w:val="center"/>
              <w:rPr>
                <w:b/>
                <w:sz w:val="22"/>
              </w:rPr>
            </w:pPr>
            <w:r>
              <w:rPr>
                <w:b/>
                <w:sz w:val="22"/>
              </w:rPr>
              <w:t>State Average</w:t>
            </w:r>
          </w:p>
        </w:tc>
        <w:tc>
          <w:tcPr>
            <w:tcW w:w="1260" w:type="dxa"/>
            <w:tcBorders>
              <w:top w:val="double" w:sz="4" w:space="0" w:color="auto"/>
              <w:bottom w:val="single" w:sz="6" w:space="0" w:color="auto"/>
              <w:right w:val="double" w:sz="4" w:space="0" w:color="auto"/>
            </w:tcBorders>
            <w:shd w:val="clear" w:color="auto" w:fill="E0E0E0"/>
            <w:vAlign w:val="bottom"/>
          </w:tcPr>
          <w:p w:rsidR="001C1946" w:rsidRDefault="001C1946">
            <w:pPr>
              <w:jc w:val="center"/>
              <w:rPr>
                <w:b/>
                <w:sz w:val="22"/>
              </w:rPr>
            </w:pPr>
            <w:r>
              <w:rPr>
                <w:b/>
                <w:sz w:val="22"/>
              </w:rPr>
              <w:t>Difference</w:t>
            </w:r>
          </w:p>
        </w:tc>
      </w:tr>
      <w:tr w:rsidR="001C1946">
        <w:tblPrEx>
          <w:tblCellMar>
            <w:top w:w="0" w:type="dxa"/>
            <w:bottom w:w="0" w:type="dxa"/>
          </w:tblCellMar>
        </w:tblPrEx>
        <w:tc>
          <w:tcPr>
            <w:tcW w:w="3353" w:type="dxa"/>
            <w:tcBorders>
              <w:top w:val="single" w:sz="6" w:space="0" w:color="auto"/>
              <w:left w:val="double" w:sz="4" w:space="0" w:color="auto"/>
              <w:bottom w:val="single" w:sz="6" w:space="0" w:color="auto"/>
            </w:tcBorders>
          </w:tcPr>
          <w:p w:rsidR="001C1946" w:rsidRDefault="001C1946">
            <w:pPr>
              <w:rPr>
                <w:sz w:val="22"/>
              </w:rPr>
            </w:pPr>
            <w:r>
              <w:rPr>
                <w:sz w:val="22"/>
              </w:rPr>
              <w:t>All tests taken</w:t>
            </w:r>
          </w:p>
        </w:tc>
        <w:tc>
          <w:tcPr>
            <w:tcW w:w="1440" w:type="dxa"/>
            <w:tcBorders>
              <w:top w:val="single" w:sz="6" w:space="0" w:color="auto"/>
              <w:bottom w:val="single" w:sz="6" w:space="0" w:color="auto"/>
            </w:tcBorders>
            <w:vAlign w:val="center"/>
          </w:tcPr>
          <w:p w:rsidR="001C1946" w:rsidRDefault="001C1946">
            <w:pPr>
              <w:jc w:val="center"/>
              <w:rPr>
                <w:sz w:val="22"/>
              </w:rPr>
            </w:pPr>
            <w:r>
              <w:rPr>
                <w:sz w:val="22"/>
              </w:rPr>
              <w:t>43.1%</w:t>
            </w:r>
          </w:p>
        </w:tc>
        <w:tc>
          <w:tcPr>
            <w:tcW w:w="1350" w:type="dxa"/>
            <w:tcBorders>
              <w:top w:val="single" w:sz="6" w:space="0" w:color="auto"/>
              <w:bottom w:val="single" w:sz="6" w:space="0" w:color="auto"/>
            </w:tcBorders>
            <w:vAlign w:val="center"/>
          </w:tcPr>
          <w:p w:rsidR="001C1946" w:rsidRDefault="001C1946">
            <w:pPr>
              <w:jc w:val="center"/>
              <w:rPr>
                <w:sz w:val="22"/>
              </w:rPr>
            </w:pPr>
            <w:r>
              <w:rPr>
                <w:sz w:val="22"/>
              </w:rPr>
              <w:t>79.9%</w:t>
            </w:r>
          </w:p>
        </w:tc>
        <w:tc>
          <w:tcPr>
            <w:tcW w:w="1260" w:type="dxa"/>
            <w:tcBorders>
              <w:top w:val="single" w:sz="6" w:space="0" w:color="auto"/>
              <w:bottom w:val="single" w:sz="6" w:space="0" w:color="auto"/>
              <w:right w:val="double" w:sz="4" w:space="0" w:color="auto"/>
            </w:tcBorders>
            <w:vAlign w:val="center"/>
          </w:tcPr>
          <w:p w:rsidR="001C1946" w:rsidRDefault="001C1946">
            <w:pPr>
              <w:jc w:val="center"/>
              <w:rPr>
                <w:sz w:val="22"/>
              </w:rPr>
            </w:pPr>
            <w:r>
              <w:rPr>
                <w:sz w:val="22"/>
              </w:rPr>
              <w:t>36.8</w:t>
            </w:r>
          </w:p>
        </w:tc>
      </w:tr>
      <w:tr w:rsidR="001C1946">
        <w:tblPrEx>
          <w:tblCellMar>
            <w:top w:w="0" w:type="dxa"/>
            <w:bottom w:w="0" w:type="dxa"/>
          </w:tblCellMar>
        </w:tblPrEx>
        <w:tc>
          <w:tcPr>
            <w:tcW w:w="3353" w:type="dxa"/>
            <w:tcBorders>
              <w:top w:val="single" w:sz="6" w:space="0" w:color="auto"/>
              <w:left w:val="double" w:sz="4" w:space="0" w:color="auto"/>
              <w:bottom w:val="single" w:sz="6" w:space="0" w:color="auto"/>
            </w:tcBorders>
          </w:tcPr>
          <w:p w:rsidR="001C1946" w:rsidRDefault="001C1946">
            <w:pPr>
              <w:rPr>
                <w:sz w:val="22"/>
              </w:rPr>
            </w:pPr>
            <w:smartTag w:uri="urn:schemas-microsoft-com:office:smarttags" w:element="City">
              <w:smartTag w:uri="urn:schemas-microsoft-com:office:smarttags" w:element="place">
                <w:r>
                  <w:rPr>
                    <w:sz w:val="22"/>
                  </w:rPr>
                  <w:t>Reading</w:t>
                </w:r>
              </w:smartTag>
            </w:smartTag>
          </w:p>
        </w:tc>
        <w:tc>
          <w:tcPr>
            <w:tcW w:w="1440" w:type="dxa"/>
            <w:tcBorders>
              <w:top w:val="single" w:sz="6" w:space="0" w:color="auto"/>
              <w:bottom w:val="single" w:sz="6" w:space="0" w:color="auto"/>
            </w:tcBorders>
            <w:vAlign w:val="center"/>
          </w:tcPr>
          <w:p w:rsidR="001C1946" w:rsidRDefault="001C1946">
            <w:pPr>
              <w:jc w:val="center"/>
              <w:rPr>
                <w:sz w:val="22"/>
              </w:rPr>
            </w:pPr>
            <w:r>
              <w:rPr>
                <w:sz w:val="22"/>
              </w:rPr>
              <w:t>64.2%</w:t>
            </w:r>
          </w:p>
        </w:tc>
        <w:tc>
          <w:tcPr>
            <w:tcW w:w="1350" w:type="dxa"/>
            <w:tcBorders>
              <w:top w:val="single" w:sz="6" w:space="0" w:color="auto"/>
              <w:bottom w:val="single" w:sz="6" w:space="0" w:color="auto"/>
            </w:tcBorders>
            <w:vAlign w:val="center"/>
          </w:tcPr>
          <w:p w:rsidR="001C1946" w:rsidRDefault="001C1946">
            <w:pPr>
              <w:jc w:val="center"/>
              <w:rPr>
                <w:sz w:val="22"/>
              </w:rPr>
            </w:pPr>
            <w:r>
              <w:rPr>
                <w:sz w:val="22"/>
              </w:rPr>
              <w:t>87.4%</w:t>
            </w:r>
          </w:p>
        </w:tc>
        <w:tc>
          <w:tcPr>
            <w:tcW w:w="1260" w:type="dxa"/>
            <w:tcBorders>
              <w:top w:val="single" w:sz="6" w:space="0" w:color="auto"/>
              <w:bottom w:val="single" w:sz="6" w:space="0" w:color="auto"/>
              <w:right w:val="double" w:sz="4" w:space="0" w:color="auto"/>
            </w:tcBorders>
            <w:vAlign w:val="center"/>
          </w:tcPr>
          <w:p w:rsidR="001C1946" w:rsidRDefault="001C1946">
            <w:pPr>
              <w:jc w:val="center"/>
              <w:rPr>
                <w:sz w:val="22"/>
              </w:rPr>
            </w:pPr>
            <w:r>
              <w:rPr>
                <w:sz w:val="22"/>
              </w:rPr>
              <w:t>23.2</w:t>
            </w:r>
          </w:p>
        </w:tc>
      </w:tr>
      <w:tr w:rsidR="001C1946">
        <w:tblPrEx>
          <w:tblCellMar>
            <w:top w:w="0" w:type="dxa"/>
            <w:bottom w:w="0" w:type="dxa"/>
          </w:tblCellMar>
        </w:tblPrEx>
        <w:tc>
          <w:tcPr>
            <w:tcW w:w="3353" w:type="dxa"/>
            <w:tcBorders>
              <w:top w:val="single" w:sz="6" w:space="0" w:color="auto"/>
              <w:left w:val="double" w:sz="4" w:space="0" w:color="auto"/>
              <w:bottom w:val="single" w:sz="6" w:space="0" w:color="auto"/>
            </w:tcBorders>
          </w:tcPr>
          <w:p w:rsidR="001C1946" w:rsidRDefault="001C1946">
            <w:pPr>
              <w:rPr>
                <w:sz w:val="22"/>
              </w:rPr>
            </w:pPr>
            <w:r>
              <w:rPr>
                <w:sz w:val="22"/>
              </w:rPr>
              <w:t>Writing</w:t>
            </w:r>
          </w:p>
        </w:tc>
        <w:tc>
          <w:tcPr>
            <w:tcW w:w="1440" w:type="dxa"/>
            <w:tcBorders>
              <w:top w:val="single" w:sz="6" w:space="0" w:color="auto"/>
              <w:bottom w:val="single" w:sz="6" w:space="0" w:color="auto"/>
            </w:tcBorders>
            <w:vAlign w:val="center"/>
          </w:tcPr>
          <w:p w:rsidR="001C1946" w:rsidRDefault="001C1946">
            <w:pPr>
              <w:jc w:val="center"/>
              <w:rPr>
                <w:sz w:val="22"/>
              </w:rPr>
            </w:pPr>
            <w:r>
              <w:rPr>
                <w:sz w:val="22"/>
              </w:rPr>
              <w:t>58.4%</w:t>
            </w:r>
          </w:p>
        </w:tc>
        <w:tc>
          <w:tcPr>
            <w:tcW w:w="1350" w:type="dxa"/>
            <w:tcBorders>
              <w:top w:val="single" w:sz="6" w:space="0" w:color="auto"/>
              <w:bottom w:val="single" w:sz="6" w:space="0" w:color="auto"/>
            </w:tcBorders>
            <w:vAlign w:val="center"/>
          </w:tcPr>
          <w:p w:rsidR="001C1946" w:rsidRDefault="001C1946">
            <w:pPr>
              <w:jc w:val="center"/>
              <w:rPr>
                <w:sz w:val="22"/>
              </w:rPr>
            </w:pPr>
            <w:r>
              <w:rPr>
                <w:sz w:val="22"/>
              </w:rPr>
              <w:t>88.2%</w:t>
            </w:r>
          </w:p>
        </w:tc>
        <w:tc>
          <w:tcPr>
            <w:tcW w:w="1260" w:type="dxa"/>
            <w:tcBorders>
              <w:top w:val="single" w:sz="6" w:space="0" w:color="auto"/>
              <w:bottom w:val="single" w:sz="6" w:space="0" w:color="auto"/>
              <w:right w:val="double" w:sz="4" w:space="0" w:color="auto"/>
            </w:tcBorders>
            <w:vAlign w:val="center"/>
          </w:tcPr>
          <w:p w:rsidR="001C1946" w:rsidRDefault="001C1946">
            <w:pPr>
              <w:jc w:val="center"/>
              <w:rPr>
                <w:sz w:val="22"/>
              </w:rPr>
            </w:pPr>
            <w:r>
              <w:rPr>
                <w:sz w:val="22"/>
              </w:rPr>
              <w:t>29.8</w:t>
            </w:r>
          </w:p>
        </w:tc>
      </w:tr>
      <w:tr w:rsidR="001C1946">
        <w:tblPrEx>
          <w:tblCellMar>
            <w:top w:w="0" w:type="dxa"/>
            <w:bottom w:w="0" w:type="dxa"/>
          </w:tblCellMar>
        </w:tblPrEx>
        <w:tc>
          <w:tcPr>
            <w:tcW w:w="3353" w:type="dxa"/>
            <w:tcBorders>
              <w:top w:val="single" w:sz="6" w:space="0" w:color="auto"/>
              <w:left w:val="double" w:sz="4" w:space="0" w:color="auto"/>
              <w:bottom w:val="double" w:sz="4" w:space="0" w:color="auto"/>
            </w:tcBorders>
          </w:tcPr>
          <w:p w:rsidR="001C1946" w:rsidRDefault="001C1946">
            <w:pPr>
              <w:rPr>
                <w:sz w:val="22"/>
              </w:rPr>
            </w:pPr>
            <w:r>
              <w:rPr>
                <w:sz w:val="22"/>
              </w:rPr>
              <w:t>Mathematics</w:t>
            </w:r>
          </w:p>
        </w:tc>
        <w:tc>
          <w:tcPr>
            <w:tcW w:w="1440" w:type="dxa"/>
            <w:tcBorders>
              <w:top w:val="single" w:sz="6" w:space="0" w:color="auto"/>
              <w:bottom w:val="double" w:sz="4" w:space="0" w:color="auto"/>
            </w:tcBorders>
            <w:vAlign w:val="center"/>
          </w:tcPr>
          <w:p w:rsidR="001C1946" w:rsidRDefault="001C1946">
            <w:pPr>
              <w:jc w:val="center"/>
              <w:rPr>
                <w:sz w:val="22"/>
              </w:rPr>
            </w:pPr>
            <w:r>
              <w:rPr>
                <w:sz w:val="22"/>
              </w:rPr>
              <w:t>52.5%</w:t>
            </w:r>
          </w:p>
        </w:tc>
        <w:tc>
          <w:tcPr>
            <w:tcW w:w="1350" w:type="dxa"/>
            <w:tcBorders>
              <w:top w:val="single" w:sz="6" w:space="0" w:color="auto"/>
              <w:bottom w:val="double" w:sz="4" w:space="0" w:color="auto"/>
            </w:tcBorders>
            <w:vAlign w:val="center"/>
          </w:tcPr>
          <w:p w:rsidR="001C1946" w:rsidRDefault="001C1946">
            <w:pPr>
              <w:jc w:val="center"/>
              <w:rPr>
                <w:sz w:val="22"/>
              </w:rPr>
            </w:pPr>
            <w:r>
              <w:rPr>
                <w:sz w:val="22"/>
              </w:rPr>
              <w:t>87.4%</w:t>
            </w:r>
          </w:p>
        </w:tc>
        <w:tc>
          <w:tcPr>
            <w:tcW w:w="1260" w:type="dxa"/>
            <w:tcBorders>
              <w:top w:val="single" w:sz="6" w:space="0" w:color="auto"/>
              <w:bottom w:val="double" w:sz="4" w:space="0" w:color="auto"/>
              <w:right w:val="double" w:sz="4" w:space="0" w:color="auto"/>
            </w:tcBorders>
            <w:vAlign w:val="center"/>
          </w:tcPr>
          <w:p w:rsidR="001C1946" w:rsidRDefault="001C1946">
            <w:pPr>
              <w:jc w:val="center"/>
              <w:rPr>
                <w:sz w:val="22"/>
              </w:rPr>
            </w:pPr>
            <w:r>
              <w:rPr>
                <w:sz w:val="22"/>
              </w:rPr>
              <w:t>34.9</w:t>
            </w:r>
          </w:p>
        </w:tc>
      </w:tr>
      <w:tr w:rsidR="001C1946">
        <w:tblPrEx>
          <w:tblCellMar>
            <w:top w:w="0" w:type="dxa"/>
            <w:bottom w:w="0" w:type="dxa"/>
          </w:tblCellMar>
        </w:tblPrEx>
        <w:tc>
          <w:tcPr>
            <w:tcW w:w="3353" w:type="dxa"/>
            <w:tcBorders>
              <w:top w:val="double" w:sz="4" w:space="0" w:color="auto"/>
              <w:left w:val="double" w:sz="4" w:space="0" w:color="auto"/>
              <w:bottom w:val="single" w:sz="6" w:space="0" w:color="auto"/>
            </w:tcBorders>
            <w:shd w:val="clear" w:color="auto" w:fill="E0E0E0"/>
            <w:vAlign w:val="bottom"/>
          </w:tcPr>
          <w:p w:rsidR="001C1946" w:rsidRDefault="001C1946">
            <w:pPr>
              <w:rPr>
                <w:b/>
                <w:sz w:val="22"/>
              </w:rPr>
            </w:pPr>
            <w:r>
              <w:rPr>
                <w:b/>
                <w:sz w:val="22"/>
              </w:rPr>
              <w:t>Percent Passing All Tests Taken</w:t>
            </w:r>
          </w:p>
        </w:tc>
        <w:tc>
          <w:tcPr>
            <w:tcW w:w="1440" w:type="dxa"/>
            <w:tcBorders>
              <w:top w:val="double" w:sz="4" w:space="0" w:color="auto"/>
              <w:bottom w:val="single" w:sz="6" w:space="0" w:color="auto"/>
            </w:tcBorders>
            <w:shd w:val="clear" w:color="auto" w:fill="E0E0E0"/>
            <w:vAlign w:val="center"/>
          </w:tcPr>
          <w:p w:rsidR="001C1946" w:rsidRDefault="001C1946">
            <w:pPr>
              <w:jc w:val="center"/>
              <w:rPr>
                <w:b/>
                <w:sz w:val="22"/>
              </w:rPr>
            </w:pPr>
          </w:p>
        </w:tc>
        <w:tc>
          <w:tcPr>
            <w:tcW w:w="1350" w:type="dxa"/>
            <w:tcBorders>
              <w:top w:val="double" w:sz="4" w:space="0" w:color="auto"/>
              <w:bottom w:val="single" w:sz="6" w:space="0" w:color="auto"/>
            </w:tcBorders>
            <w:shd w:val="clear" w:color="auto" w:fill="E0E0E0"/>
            <w:vAlign w:val="center"/>
          </w:tcPr>
          <w:p w:rsidR="001C1946" w:rsidRDefault="001C1946">
            <w:pPr>
              <w:jc w:val="center"/>
              <w:rPr>
                <w:b/>
                <w:sz w:val="22"/>
              </w:rPr>
            </w:pPr>
          </w:p>
        </w:tc>
        <w:tc>
          <w:tcPr>
            <w:tcW w:w="1260" w:type="dxa"/>
            <w:tcBorders>
              <w:top w:val="double" w:sz="4" w:space="0" w:color="auto"/>
              <w:bottom w:val="single" w:sz="6" w:space="0" w:color="auto"/>
              <w:right w:val="double" w:sz="4" w:space="0" w:color="auto"/>
            </w:tcBorders>
            <w:shd w:val="clear" w:color="auto" w:fill="E0E0E0"/>
            <w:vAlign w:val="center"/>
          </w:tcPr>
          <w:p w:rsidR="001C1946" w:rsidRDefault="001C1946">
            <w:pPr>
              <w:jc w:val="center"/>
              <w:rPr>
                <w:b/>
                <w:sz w:val="22"/>
              </w:rPr>
            </w:pPr>
          </w:p>
        </w:tc>
      </w:tr>
      <w:tr w:rsidR="001C1946">
        <w:tblPrEx>
          <w:tblCellMar>
            <w:top w:w="0" w:type="dxa"/>
            <w:bottom w:w="0" w:type="dxa"/>
          </w:tblCellMar>
        </w:tblPrEx>
        <w:tc>
          <w:tcPr>
            <w:tcW w:w="3353" w:type="dxa"/>
            <w:tcBorders>
              <w:top w:val="single" w:sz="6" w:space="0" w:color="auto"/>
              <w:left w:val="double" w:sz="4" w:space="0" w:color="auto"/>
              <w:bottom w:val="single" w:sz="6" w:space="0" w:color="auto"/>
            </w:tcBorders>
          </w:tcPr>
          <w:p w:rsidR="001C1946" w:rsidRDefault="001C1946">
            <w:pPr>
              <w:rPr>
                <w:sz w:val="22"/>
              </w:rPr>
            </w:pPr>
            <w:r>
              <w:rPr>
                <w:sz w:val="22"/>
              </w:rPr>
              <w:t>African American</w:t>
            </w:r>
          </w:p>
        </w:tc>
        <w:tc>
          <w:tcPr>
            <w:tcW w:w="1440" w:type="dxa"/>
            <w:tcBorders>
              <w:top w:val="single" w:sz="6" w:space="0" w:color="auto"/>
              <w:bottom w:val="single" w:sz="6" w:space="0" w:color="auto"/>
            </w:tcBorders>
            <w:vAlign w:val="center"/>
          </w:tcPr>
          <w:p w:rsidR="001C1946" w:rsidRDefault="001C1946">
            <w:pPr>
              <w:jc w:val="center"/>
              <w:rPr>
                <w:sz w:val="22"/>
              </w:rPr>
            </w:pPr>
            <w:r>
              <w:rPr>
                <w:sz w:val="22"/>
              </w:rPr>
              <w:t>39.4%</w:t>
            </w:r>
          </w:p>
        </w:tc>
        <w:tc>
          <w:tcPr>
            <w:tcW w:w="1350" w:type="dxa"/>
            <w:tcBorders>
              <w:top w:val="single" w:sz="6" w:space="0" w:color="auto"/>
              <w:bottom w:val="single" w:sz="6" w:space="0" w:color="auto"/>
            </w:tcBorders>
            <w:vAlign w:val="center"/>
          </w:tcPr>
          <w:p w:rsidR="001C1946" w:rsidRDefault="001C1946">
            <w:pPr>
              <w:jc w:val="center"/>
              <w:rPr>
                <w:sz w:val="22"/>
              </w:rPr>
            </w:pPr>
            <w:r>
              <w:rPr>
                <w:sz w:val="22"/>
              </w:rPr>
              <w:t>68.0%</w:t>
            </w:r>
          </w:p>
        </w:tc>
        <w:tc>
          <w:tcPr>
            <w:tcW w:w="1260" w:type="dxa"/>
            <w:tcBorders>
              <w:top w:val="single" w:sz="6" w:space="0" w:color="auto"/>
              <w:bottom w:val="single" w:sz="6" w:space="0" w:color="auto"/>
              <w:right w:val="double" w:sz="4" w:space="0" w:color="auto"/>
            </w:tcBorders>
            <w:vAlign w:val="center"/>
          </w:tcPr>
          <w:p w:rsidR="001C1946" w:rsidRDefault="001C1946">
            <w:pPr>
              <w:jc w:val="center"/>
              <w:rPr>
                <w:sz w:val="22"/>
              </w:rPr>
            </w:pPr>
            <w:r>
              <w:rPr>
                <w:sz w:val="22"/>
              </w:rPr>
              <w:t>28.6</w:t>
            </w:r>
          </w:p>
        </w:tc>
      </w:tr>
      <w:tr w:rsidR="001C1946">
        <w:tblPrEx>
          <w:tblCellMar>
            <w:top w:w="0" w:type="dxa"/>
            <w:bottom w:w="0" w:type="dxa"/>
          </w:tblCellMar>
        </w:tblPrEx>
        <w:tc>
          <w:tcPr>
            <w:tcW w:w="3353" w:type="dxa"/>
            <w:tcBorders>
              <w:top w:val="single" w:sz="6" w:space="0" w:color="auto"/>
              <w:left w:val="double" w:sz="4" w:space="0" w:color="auto"/>
              <w:bottom w:val="single" w:sz="6" w:space="0" w:color="auto"/>
            </w:tcBorders>
          </w:tcPr>
          <w:p w:rsidR="001C1946" w:rsidRDefault="001C1946">
            <w:pPr>
              <w:rPr>
                <w:sz w:val="22"/>
              </w:rPr>
            </w:pPr>
            <w:r>
              <w:rPr>
                <w:sz w:val="22"/>
              </w:rPr>
              <w:t>Hispanic</w:t>
            </w:r>
          </w:p>
        </w:tc>
        <w:tc>
          <w:tcPr>
            <w:tcW w:w="1440" w:type="dxa"/>
            <w:tcBorders>
              <w:top w:val="single" w:sz="6" w:space="0" w:color="auto"/>
              <w:bottom w:val="single" w:sz="6" w:space="0" w:color="auto"/>
            </w:tcBorders>
            <w:vAlign w:val="center"/>
          </w:tcPr>
          <w:p w:rsidR="001C1946" w:rsidRDefault="001C1946">
            <w:pPr>
              <w:jc w:val="center"/>
              <w:rPr>
                <w:sz w:val="22"/>
              </w:rPr>
            </w:pPr>
            <w:r>
              <w:rPr>
                <w:sz w:val="22"/>
              </w:rPr>
              <w:t>43.4%</w:t>
            </w:r>
          </w:p>
        </w:tc>
        <w:tc>
          <w:tcPr>
            <w:tcW w:w="1350" w:type="dxa"/>
            <w:tcBorders>
              <w:top w:val="single" w:sz="6" w:space="0" w:color="auto"/>
              <w:bottom w:val="single" w:sz="6" w:space="0" w:color="auto"/>
            </w:tcBorders>
            <w:vAlign w:val="center"/>
          </w:tcPr>
          <w:p w:rsidR="001C1946" w:rsidRDefault="001C1946">
            <w:pPr>
              <w:jc w:val="center"/>
              <w:rPr>
                <w:sz w:val="22"/>
              </w:rPr>
            </w:pPr>
            <w:r>
              <w:rPr>
                <w:sz w:val="22"/>
              </w:rPr>
              <w:t>71.8%</w:t>
            </w:r>
          </w:p>
        </w:tc>
        <w:tc>
          <w:tcPr>
            <w:tcW w:w="1260" w:type="dxa"/>
            <w:tcBorders>
              <w:top w:val="single" w:sz="6" w:space="0" w:color="auto"/>
              <w:bottom w:val="single" w:sz="6" w:space="0" w:color="auto"/>
              <w:right w:val="double" w:sz="4" w:space="0" w:color="auto"/>
            </w:tcBorders>
            <w:vAlign w:val="center"/>
          </w:tcPr>
          <w:p w:rsidR="001C1946" w:rsidRDefault="001C1946">
            <w:pPr>
              <w:jc w:val="center"/>
              <w:rPr>
                <w:sz w:val="22"/>
              </w:rPr>
            </w:pPr>
            <w:r>
              <w:rPr>
                <w:sz w:val="22"/>
              </w:rPr>
              <w:t>28.4</w:t>
            </w:r>
          </w:p>
        </w:tc>
      </w:tr>
      <w:tr w:rsidR="001C1946">
        <w:tblPrEx>
          <w:tblCellMar>
            <w:top w:w="0" w:type="dxa"/>
            <w:bottom w:w="0" w:type="dxa"/>
          </w:tblCellMar>
        </w:tblPrEx>
        <w:tc>
          <w:tcPr>
            <w:tcW w:w="3353" w:type="dxa"/>
            <w:tcBorders>
              <w:top w:val="single" w:sz="6" w:space="0" w:color="auto"/>
              <w:left w:val="double" w:sz="4" w:space="0" w:color="auto"/>
              <w:bottom w:val="single" w:sz="6" w:space="0" w:color="auto"/>
            </w:tcBorders>
          </w:tcPr>
          <w:p w:rsidR="001C1946" w:rsidRDefault="001C1946">
            <w:pPr>
              <w:rPr>
                <w:sz w:val="22"/>
              </w:rPr>
            </w:pPr>
            <w:r>
              <w:rPr>
                <w:sz w:val="22"/>
              </w:rPr>
              <w:t>White</w:t>
            </w:r>
          </w:p>
        </w:tc>
        <w:tc>
          <w:tcPr>
            <w:tcW w:w="1440" w:type="dxa"/>
            <w:tcBorders>
              <w:top w:val="single" w:sz="6" w:space="0" w:color="auto"/>
              <w:bottom w:val="single" w:sz="6" w:space="0" w:color="auto"/>
            </w:tcBorders>
            <w:vAlign w:val="center"/>
          </w:tcPr>
          <w:p w:rsidR="001C1946" w:rsidRDefault="001C1946">
            <w:pPr>
              <w:jc w:val="center"/>
              <w:rPr>
                <w:sz w:val="22"/>
              </w:rPr>
            </w:pPr>
            <w:r>
              <w:rPr>
                <w:sz w:val="22"/>
              </w:rPr>
              <w:t>60.4%</w:t>
            </w:r>
          </w:p>
        </w:tc>
        <w:tc>
          <w:tcPr>
            <w:tcW w:w="1350" w:type="dxa"/>
            <w:tcBorders>
              <w:top w:val="single" w:sz="6" w:space="0" w:color="auto"/>
              <w:bottom w:val="single" w:sz="6" w:space="0" w:color="auto"/>
            </w:tcBorders>
            <w:vAlign w:val="center"/>
          </w:tcPr>
          <w:p w:rsidR="001C1946" w:rsidRDefault="001C1946">
            <w:pPr>
              <w:jc w:val="center"/>
              <w:rPr>
                <w:sz w:val="22"/>
              </w:rPr>
            </w:pPr>
            <w:r>
              <w:rPr>
                <w:sz w:val="22"/>
              </w:rPr>
              <w:t>89.3%</w:t>
            </w:r>
          </w:p>
        </w:tc>
        <w:tc>
          <w:tcPr>
            <w:tcW w:w="1260" w:type="dxa"/>
            <w:tcBorders>
              <w:top w:val="single" w:sz="6" w:space="0" w:color="auto"/>
              <w:bottom w:val="single" w:sz="6" w:space="0" w:color="auto"/>
              <w:right w:val="double" w:sz="4" w:space="0" w:color="auto"/>
            </w:tcBorders>
            <w:vAlign w:val="center"/>
          </w:tcPr>
          <w:p w:rsidR="001C1946" w:rsidRDefault="001C1946">
            <w:pPr>
              <w:jc w:val="center"/>
              <w:rPr>
                <w:sz w:val="22"/>
              </w:rPr>
            </w:pPr>
            <w:r>
              <w:rPr>
                <w:sz w:val="22"/>
              </w:rPr>
              <w:t>28.9</w:t>
            </w:r>
          </w:p>
        </w:tc>
      </w:tr>
      <w:tr w:rsidR="001C1946">
        <w:tblPrEx>
          <w:tblCellMar>
            <w:top w:w="0" w:type="dxa"/>
            <w:bottom w:w="0" w:type="dxa"/>
          </w:tblCellMar>
        </w:tblPrEx>
        <w:tc>
          <w:tcPr>
            <w:tcW w:w="3353" w:type="dxa"/>
            <w:tcBorders>
              <w:top w:val="single" w:sz="6" w:space="0" w:color="auto"/>
              <w:left w:val="double" w:sz="4" w:space="0" w:color="auto"/>
              <w:bottom w:val="double" w:sz="4" w:space="0" w:color="auto"/>
            </w:tcBorders>
          </w:tcPr>
          <w:p w:rsidR="001C1946" w:rsidRDefault="001C1946">
            <w:pPr>
              <w:rPr>
                <w:sz w:val="22"/>
              </w:rPr>
            </w:pPr>
            <w:r>
              <w:rPr>
                <w:sz w:val="22"/>
              </w:rPr>
              <w:t>Economically disadvantaged</w:t>
            </w:r>
          </w:p>
        </w:tc>
        <w:tc>
          <w:tcPr>
            <w:tcW w:w="1440" w:type="dxa"/>
            <w:tcBorders>
              <w:top w:val="single" w:sz="6" w:space="0" w:color="auto"/>
              <w:bottom w:val="double" w:sz="4" w:space="0" w:color="auto"/>
            </w:tcBorders>
            <w:vAlign w:val="center"/>
          </w:tcPr>
          <w:p w:rsidR="001C1946" w:rsidRDefault="001C1946">
            <w:pPr>
              <w:jc w:val="center"/>
              <w:rPr>
                <w:sz w:val="22"/>
              </w:rPr>
            </w:pPr>
            <w:r>
              <w:rPr>
                <w:sz w:val="22"/>
              </w:rPr>
              <w:t>41.4%</w:t>
            </w:r>
          </w:p>
        </w:tc>
        <w:tc>
          <w:tcPr>
            <w:tcW w:w="1350" w:type="dxa"/>
            <w:tcBorders>
              <w:top w:val="single" w:sz="6" w:space="0" w:color="auto"/>
              <w:bottom w:val="double" w:sz="4" w:space="0" w:color="auto"/>
            </w:tcBorders>
            <w:vAlign w:val="center"/>
          </w:tcPr>
          <w:p w:rsidR="001C1946" w:rsidRDefault="001C1946">
            <w:pPr>
              <w:jc w:val="center"/>
              <w:rPr>
                <w:sz w:val="22"/>
              </w:rPr>
            </w:pPr>
            <w:r>
              <w:rPr>
                <w:sz w:val="22"/>
              </w:rPr>
              <w:t>70.0%</w:t>
            </w:r>
          </w:p>
        </w:tc>
        <w:tc>
          <w:tcPr>
            <w:tcW w:w="1260" w:type="dxa"/>
            <w:tcBorders>
              <w:top w:val="single" w:sz="6" w:space="0" w:color="auto"/>
              <w:bottom w:val="double" w:sz="4" w:space="0" w:color="auto"/>
              <w:right w:val="double" w:sz="4" w:space="0" w:color="auto"/>
            </w:tcBorders>
            <w:vAlign w:val="center"/>
          </w:tcPr>
          <w:p w:rsidR="001C1946" w:rsidRDefault="001C1946">
            <w:pPr>
              <w:jc w:val="center"/>
              <w:rPr>
                <w:sz w:val="22"/>
              </w:rPr>
            </w:pPr>
            <w:r>
              <w:rPr>
                <w:sz w:val="22"/>
              </w:rPr>
              <w:t>28.6</w:t>
            </w:r>
          </w:p>
        </w:tc>
      </w:tr>
    </w:tbl>
    <w:p w:rsidR="001C1946" w:rsidRDefault="001C1946">
      <w:pPr>
        <w:pStyle w:val="Header"/>
        <w:tabs>
          <w:tab w:val="clear" w:pos="4320"/>
          <w:tab w:val="clear" w:pos="8640"/>
        </w:tabs>
        <w:rPr>
          <w:i/>
          <w:sz w:val="18"/>
        </w:rPr>
      </w:pPr>
      <w:r>
        <w:rPr>
          <w:i/>
          <w:sz w:val="18"/>
        </w:rPr>
        <w:t xml:space="preserve"> </w:t>
      </w:r>
      <w:proofErr w:type="gramStart"/>
      <w:r>
        <w:rPr>
          <w:i/>
          <w:sz w:val="18"/>
        </w:rPr>
        <w:t>Source.</w:t>
      </w:r>
      <w:proofErr w:type="gramEnd"/>
      <w:r>
        <w:rPr>
          <w:i/>
          <w:sz w:val="18"/>
        </w:rPr>
        <w:t xml:space="preserve"> </w:t>
      </w:r>
      <w:proofErr w:type="gramStart"/>
      <w:r>
        <w:rPr>
          <w:iCs/>
          <w:sz w:val="18"/>
        </w:rPr>
        <w:t>2000 TEA AEIS reports for 141 charter schools.</w:t>
      </w:r>
      <w:proofErr w:type="gramEnd"/>
    </w:p>
    <w:p w:rsidR="001C1946" w:rsidRDefault="001C1946">
      <w:pPr>
        <w:pStyle w:val="Header"/>
        <w:tabs>
          <w:tab w:val="clear" w:pos="4320"/>
          <w:tab w:val="clear" w:pos="8640"/>
        </w:tabs>
        <w:rPr>
          <w:i/>
          <w:sz w:val="18"/>
        </w:rPr>
      </w:pPr>
      <w:r>
        <w:rPr>
          <w:i/>
          <w:sz w:val="18"/>
        </w:rPr>
        <w:t xml:space="preserve"> *</w:t>
      </w:r>
      <w:r>
        <w:rPr>
          <w:iCs/>
          <w:sz w:val="18"/>
        </w:rPr>
        <w:t xml:space="preserve">All students </w:t>
      </w:r>
      <w:proofErr w:type="gramStart"/>
      <w:r>
        <w:rPr>
          <w:iCs/>
          <w:sz w:val="18"/>
        </w:rPr>
        <w:t>refers</w:t>
      </w:r>
      <w:proofErr w:type="gramEnd"/>
      <w:r>
        <w:rPr>
          <w:iCs/>
          <w:sz w:val="18"/>
        </w:rPr>
        <w:t xml:space="preserve"> to students tested in grade levels at which TAAS is administered</w:t>
      </w:r>
      <w:r>
        <w:rPr>
          <w:i/>
          <w:sz w:val="18"/>
        </w:rPr>
        <w:t>.</w:t>
      </w:r>
    </w:p>
    <w:p w:rsidR="001C1946" w:rsidRDefault="001C1946">
      <w:pPr>
        <w:rPr>
          <w:b/>
          <w:bCs/>
          <w:u w:val="single"/>
        </w:rPr>
      </w:pPr>
    </w:p>
    <w:p w:rsidR="001C1946" w:rsidRDefault="001C1946">
      <w:pPr>
        <w:spacing w:after="120"/>
        <w:rPr>
          <w:sz w:val="24"/>
        </w:rPr>
      </w:pPr>
      <w:r>
        <w:rPr>
          <w:sz w:val="24"/>
          <w:u w:val="single"/>
        </w:rPr>
        <w:t>Charter schools’ TAAS progress over time varies by school type</w:t>
      </w:r>
      <w:r>
        <w:rPr>
          <w:sz w:val="24"/>
        </w:rPr>
        <w:t>. To allow an examination of performance trends without the issue of new schools, Table 3 presents data from the Generation 1 schools operating in 1999-00 by school type. Although the number of schools is small, the following trends emerge:</w:t>
      </w:r>
    </w:p>
    <w:p w:rsidR="001C1946" w:rsidRDefault="001C1946">
      <w:pPr>
        <w:numPr>
          <w:ilvl w:val="0"/>
          <w:numId w:val="7"/>
        </w:numPr>
        <w:spacing w:after="120"/>
        <w:rPr>
          <w:b/>
          <w:bCs/>
          <w:sz w:val="24"/>
          <w:u w:val="single"/>
        </w:rPr>
      </w:pPr>
      <w:r>
        <w:rPr>
          <w:i/>
          <w:iCs/>
          <w:sz w:val="24"/>
        </w:rPr>
        <w:t>Charter schools serving primarily at-risk students made significant progress</w:t>
      </w:r>
      <w:r>
        <w:rPr>
          <w:sz w:val="24"/>
        </w:rPr>
        <w:t>. Schools serving more than 75 percent at-risk students doubled their students’ performance levels for all tests taken and made notable gains across subject areas—still, it will take time to reach the average statewide performance level.</w:t>
      </w:r>
    </w:p>
    <w:p w:rsidR="001C1946" w:rsidRDefault="001C1946">
      <w:pPr>
        <w:numPr>
          <w:ilvl w:val="0"/>
          <w:numId w:val="7"/>
        </w:numPr>
        <w:rPr>
          <w:b/>
          <w:bCs/>
          <w:sz w:val="24"/>
          <w:u w:val="single"/>
        </w:rPr>
      </w:pPr>
      <w:r>
        <w:rPr>
          <w:i/>
          <w:iCs/>
          <w:sz w:val="24"/>
        </w:rPr>
        <w:t>Charter schools serving less at-risk students had marginal success</w:t>
      </w:r>
      <w:r>
        <w:rPr>
          <w:sz w:val="24"/>
        </w:rPr>
        <w:t>. Charter schools serving less than 75 percent at-risk students lag behind the state TAAS passing averages, even though these schools report less economically disadvantaged students than the state average.</w:t>
      </w:r>
    </w:p>
    <w:p w:rsidR="001C1946" w:rsidRDefault="001C1946">
      <w:pPr>
        <w:rPr>
          <w:b/>
          <w:bCs/>
          <w:u w:val="single"/>
        </w:rPr>
      </w:pPr>
    </w:p>
    <w:p w:rsidR="001C1946" w:rsidRDefault="001C1946">
      <w:pPr>
        <w:pStyle w:val="Heading1"/>
        <w:spacing w:after="60"/>
        <w:jc w:val="left"/>
        <w:rPr>
          <w:b/>
          <w:bCs/>
          <w:sz w:val="22"/>
        </w:rPr>
      </w:pPr>
      <w:proofErr w:type="gramStart"/>
      <w:r>
        <w:rPr>
          <w:b/>
          <w:bCs/>
          <w:sz w:val="22"/>
        </w:rPr>
        <w:lastRenderedPageBreak/>
        <w:t>Table 3.</w:t>
      </w:r>
      <w:proofErr w:type="gramEnd"/>
      <w:r>
        <w:rPr>
          <w:b/>
          <w:bCs/>
          <w:sz w:val="22"/>
        </w:rPr>
        <w:t xml:space="preserve"> TAAS Performance for Generation 1 Charter Schools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872"/>
        <w:gridCol w:w="1080"/>
        <w:gridCol w:w="1080"/>
        <w:gridCol w:w="1080"/>
        <w:gridCol w:w="1080"/>
        <w:gridCol w:w="1080"/>
        <w:gridCol w:w="1080"/>
      </w:tblGrid>
      <w:tr w:rsidR="001C1946">
        <w:tblPrEx>
          <w:tblCellMar>
            <w:top w:w="0" w:type="dxa"/>
            <w:bottom w:w="0" w:type="dxa"/>
          </w:tblCellMar>
        </w:tblPrEx>
        <w:trPr>
          <w:cantSplit/>
        </w:trPr>
        <w:tc>
          <w:tcPr>
            <w:tcW w:w="1872" w:type="dxa"/>
            <w:vMerge w:val="restart"/>
            <w:shd w:val="clear" w:color="auto" w:fill="E0E0E0"/>
            <w:vAlign w:val="bottom"/>
          </w:tcPr>
          <w:p w:rsidR="001C1946" w:rsidRDefault="001C1946">
            <w:pPr>
              <w:rPr>
                <w:b/>
                <w:sz w:val="22"/>
              </w:rPr>
            </w:pPr>
            <w:r>
              <w:rPr>
                <w:b/>
                <w:sz w:val="22"/>
              </w:rPr>
              <w:t>Subject Area</w:t>
            </w:r>
          </w:p>
        </w:tc>
        <w:tc>
          <w:tcPr>
            <w:tcW w:w="3240" w:type="dxa"/>
            <w:gridSpan w:val="3"/>
            <w:shd w:val="clear" w:color="auto" w:fill="E0E0E0"/>
            <w:vAlign w:val="bottom"/>
          </w:tcPr>
          <w:p w:rsidR="001C1946" w:rsidRDefault="001C1946">
            <w:pPr>
              <w:jc w:val="center"/>
              <w:rPr>
                <w:b/>
                <w:sz w:val="22"/>
              </w:rPr>
            </w:pPr>
            <w:r>
              <w:rPr>
                <w:b/>
                <w:sz w:val="22"/>
              </w:rPr>
              <w:t>Open-</w:t>
            </w:r>
            <w:proofErr w:type="spellStart"/>
            <w:r>
              <w:rPr>
                <w:b/>
                <w:sz w:val="22"/>
              </w:rPr>
              <w:t>Enr</w:t>
            </w:r>
            <w:proofErr w:type="spellEnd"/>
            <w:r>
              <w:rPr>
                <w:b/>
                <w:sz w:val="22"/>
              </w:rPr>
              <w:t xml:space="preserve"> ≥ 75% (N=5)</w:t>
            </w:r>
          </w:p>
        </w:tc>
        <w:tc>
          <w:tcPr>
            <w:tcW w:w="3240" w:type="dxa"/>
            <w:gridSpan w:val="3"/>
            <w:shd w:val="clear" w:color="auto" w:fill="E0E0E0"/>
            <w:vAlign w:val="bottom"/>
          </w:tcPr>
          <w:p w:rsidR="001C1946" w:rsidRDefault="001C1946">
            <w:pPr>
              <w:jc w:val="center"/>
              <w:rPr>
                <w:b/>
                <w:sz w:val="22"/>
              </w:rPr>
            </w:pPr>
            <w:r>
              <w:rPr>
                <w:b/>
                <w:sz w:val="22"/>
              </w:rPr>
              <w:t>Open-</w:t>
            </w:r>
            <w:proofErr w:type="spellStart"/>
            <w:r>
              <w:rPr>
                <w:b/>
                <w:sz w:val="22"/>
              </w:rPr>
              <w:t>Enr</w:t>
            </w:r>
            <w:proofErr w:type="spellEnd"/>
            <w:r>
              <w:rPr>
                <w:b/>
                <w:sz w:val="22"/>
              </w:rPr>
              <w:t xml:space="preserve"> &lt; 75% (N=14)</w:t>
            </w:r>
          </w:p>
        </w:tc>
      </w:tr>
      <w:tr w:rsidR="001C1946">
        <w:tblPrEx>
          <w:tblCellMar>
            <w:top w:w="0" w:type="dxa"/>
            <w:bottom w:w="0" w:type="dxa"/>
          </w:tblCellMar>
        </w:tblPrEx>
        <w:trPr>
          <w:cantSplit/>
        </w:trPr>
        <w:tc>
          <w:tcPr>
            <w:tcW w:w="1872" w:type="dxa"/>
            <w:vMerge/>
            <w:shd w:val="clear" w:color="auto" w:fill="E0E0E0"/>
          </w:tcPr>
          <w:p w:rsidR="001C1946" w:rsidRDefault="001C1946">
            <w:pPr>
              <w:jc w:val="center"/>
              <w:rPr>
                <w:b/>
                <w:sz w:val="22"/>
              </w:rPr>
            </w:pPr>
          </w:p>
        </w:tc>
        <w:tc>
          <w:tcPr>
            <w:tcW w:w="1080" w:type="dxa"/>
            <w:shd w:val="clear" w:color="auto" w:fill="E0E0E0"/>
          </w:tcPr>
          <w:p w:rsidR="001C1946" w:rsidRDefault="001C1946">
            <w:pPr>
              <w:jc w:val="center"/>
              <w:rPr>
                <w:b/>
                <w:sz w:val="22"/>
              </w:rPr>
            </w:pPr>
            <w:r>
              <w:rPr>
                <w:b/>
                <w:sz w:val="22"/>
              </w:rPr>
              <w:t>1998</w:t>
            </w:r>
          </w:p>
        </w:tc>
        <w:tc>
          <w:tcPr>
            <w:tcW w:w="1080" w:type="dxa"/>
            <w:shd w:val="clear" w:color="auto" w:fill="E0E0E0"/>
            <w:vAlign w:val="bottom"/>
          </w:tcPr>
          <w:p w:rsidR="001C1946" w:rsidRDefault="001C1946">
            <w:pPr>
              <w:jc w:val="center"/>
              <w:rPr>
                <w:b/>
                <w:sz w:val="22"/>
              </w:rPr>
            </w:pPr>
            <w:r>
              <w:rPr>
                <w:b/>
                <w:sz w:val="22"/>
              </w:rPr>
              <w:t>1999</w:t>
            </w:r>
          </w:p>
        </w:tc>
        <w:tc>
          <w:tcPr>
            <w:tcW w:w="1080" w:type="dxa"/>
            <w:shd w:val="clear" w:color="auto" w:fill="E0E0E0"/>
            <w:vAlign w:val="bottom"/>
          </w:tcPr>
          <w:p w:rsidR="001C1946" w:rsidRDefault="001C1946">
            <w:pPr>
              <w:jc w:val="center"/>
              <w:rPr>
                <w:b/>
                <w:sz w:val="22"/>
              </w:rPr>
            </w:pPr>
            <w:r>
              <w:rPr>
                <w:b/>
                <w:sz w:val="22"/>
              </w:rPr>
              <w:t>2000</w:t>
            </w:r>
          </w:p>
        </w:tc>
        <w:tc>
          <w:tcPr>
            <w:tcW w:w="1080" w:type="dxa"/>
            <w:shd w:val="clear" w:color="auto" w:fill="E0E0E0"/>
            <w:vAlign w:val="bottom"/>
          </w:tcPr>
          <w:p w:rsidR="001C1946" w:rsidRDefault="001C1946">
            <w:pPr>
              <w:jc w:val="center"/>
              <w:rPr>
                <w:b/>
                <w:sz w:val="22"/>
              </w:rPr>
            </w:pPr>
            <w:r>
              <w:rPr>
                <w:b/>
                <w:sz w:val="22"/>
              </w:rPr>
              <w:t>1998</w:t>
            </w:r>
          </w:p>
        </w:tc>
        <w:tc>
          <w:tcPr>
            <w:tcW w:w="1080" w:type="dxa"/>
            <w:shd w:val="clear" w:color="auto" w:fill="E0E0E0"/>
            <w:vAlign w:val="bottom"/>
          </w:tcPr>
          <w:p w:rsidR="001C1946" w:rsidRDefault="001C1946">
            <w:pPr>
              <w:jc w:val="center"/>
              <w:rPr>
                <w:b/>
                <w:sz w:val="22"/>
              </w:rPr>
            </w:pPr>
            <w:r>
              <w:rPr>
                <w:b/>
                <w:sz w:val="22"/>
              </w:rPr>
              <w:t>1999</w:t>
            </w:r>
          </w:p>
        </w:tc>
        <w:tc>
          <w:tcPr>
            <w:tcW w:w="1080" w:type="dxa"/>
            <w:shd w:val="clear" w:color="auto" w:fill="E0E0E0"/>
            <w:vAlign w:val="bottom"/>
          </w:tcPr>
          <w:p w:rsidR="001C1946" w:rsidRDefault="001C1946">
            <w:pPr>
              <w:jc w:val="center"/>
              <w:rPr>
                <w:b/>
                <w:sz w:val="22"/>
              </w:rPr>
            </w:pPr>
            <w:r>
              <w:rPr>
                <w:b/>
                <w:sz w:val="22"/>
              </w:rPr>
              <w:t>2000</w:t>
            </w:r>
          </w:p>
        </w:tc>
      </w:tr>
      <w:tr w:rsidR="001C1946">
        <w:tblPrEx>
          <w:tblCellMar>
            <w:top w:w="0" w:type="dxa"/>
            <w:bottom w:w="0" w:type="dxa"/>
          </w:tblCellMar>
        </w:tblPrEx>
        <w:tc>
          <w:tcPr>
            <w:tcW w:w="1872" w:type="dxa"/>
          </w:tcPr>
          <w:p w:rsidR="001C1946" w:rsidRDefault="001C1946">
            <w:pPr>
              <w:rPr>
                <w:sz w:val="22"/>
              </w:rPr>
            </w:pPr>
            <w:r>
              <w:rPr>
                <w:sz w:val="22"/>
              </w:rPr>
              <w:t>All tests taken</w:t>
            </w:r>
          </w:p>
        </w:tc>
        <w:tc>
          <w:tcPr>
            <w:tcW w:w="1080" w:type="dxa"/>
            <w:vAlign w:val="center"/>
          </w:tcPr>
          <w:p w:rsidR="001C1946" w:rsidRDefault="001C1946">
            <w:pPr>
              <w:jc w:val="center"/>
              <w:rPr>
                <w:sz w:val="22"/>
              </w:rPr>
            </w:pPr>
            <w:r>
              <w:rPr>
                <w:sz w:val="22"/>
              </w:rPr>
              <w:t>19.3%</w:t>
            </w:r>
          </w:p>
        </w:tc>
        <w:tc>
          <w:tcPr>
            <w:tcW w:w="1080" w:type="dxa"/>
            <w:vAlign w:val="center"/>
          </w:tcPr>
          <w:p w:rsidR="001C1946" w:rsidRDefault="001C1946">
            <w:pPr>
              <w:jc w:val="center"/>
              <w:rPr>
                <w:sz w:val="22"/>
              </w:rPr>
            </w:pPr>
            <w:r>
              <w:rPr>
                <w:sz w:val="22"/>
              </w:rPr>
              <w:t>33.8%</w:t>
            </w:r>
          </w:p>
        </w:tc>
        <w:tc>
          <w:tcPr>
            <w:tcW w:w="1080" w:type="dxa"/>
            <w:vAlign w:val="center"/>
          </w:tcPr>
          <w:p w:rsidR="001C1946" w:rsidRDefault="001C1946">
            <w:pPr>
              <w:jc w:val="center"/>
              <w:rPr>
                <w:sz w:val="22"/>
              </w:rPr>
            </w:pPr>
            <w:r>
              <w:rPr>
                <w:sz w:val="22"/>
              </w:rPr>
              <w:t>44.2%</w:t>
            </w:r>
          </w:p>
        </w:tc>
        <w:tc>
          <w:tcPr>
            <w:tcW w:w="1080" w:type="dxa"/>
            <w:vAlign w:val="center"/>
          </w:tcPr>
          <w:p w:rsidR="001C1946" w:rsidRDefault="001C1946">
            <w:pPr>
              <w:jc w:val="center"/>
              <w:rPr>
                <w:sz w:val="22"/>
              </w:rPr>
            </w:pPr>
            <w:r>
              <w:rPr>
                <w:sz w:val="22"/>
              </w:rPr>
              <w:t>51.7%</w:t>
            </w:r>
          </w:p>
        </w:tc>
        <w:tc>
          <w:tcPr>
            <w:tcW w:w="1080" w:type="dxa"/>
            <w:vAlign w:val="center"/>
          </w:tcPr>
          <w:p w:rsidR="001C1946" w:rsidRDefault="001C1946">
            <w:pPr>
              <w:jc w:val="center"/>
              <w:rPr>
                <w:sz w:val="22"/>
              </w:rPr>
            </w:pPr>
            <w:r>
              <w:rPr>
                <w:sz w:val="22"/>
              </w:rPr>
              <w:t>60.0%</w:t>
            </w:r>
          </w:p>
        </w:tc>
        <w:tc>
          <w:tcPr>
            <w:tcW w:w="1080" w:type="dxa"/>
            <w:vAlign w:val="center"/>
          </w:tcPr>
          <w:p w:rsidR="001C1946" w:rsidRDefault="001C1946">
            <w:pPr>
              <w:jc w:val="center"/>
              <w:rPr>
                <w:sz w:val="22"/>
              </w:rPr>
            </w:pPr>
            <w:r>
              <w:rPr>
                <w:sz w:val="22"/>
              </w:rPr>
              <w:t>62.0%</w:t>
            </w:r>
          </w:p>
        </w:tc>
      </w:tr>
      <w:tr w:rsidR="001C1946">
        <w:tblPrEx>
          <w:tblCellMar>
            <w:top w:w="0" w:type="dxa"/>
            <w:bottom w:w="0" w:type="dxa"/>
          </w:tblCellMar>
        </w:tblPrEx>
        <w:tc>
          <w:tcPr>
            <w:tcW w:w="1872" w:type="dxa"/>
          </w:tcPr>
          <w:p w:rsidR="001C1946" w:rsidRDefault="001C1946">
            <w:pPr>
              <w:rPr>
                <w:sz w:val="22"/>
              </w:rPr>
            </w:pPr>
            <w:smartTag w:uri="urn:schemas-microsoft-com:office:smarttags" w:element="City">
              <w:smartTag w:uri="urn:schemas-microsoft-com:office:smarttags" w:element="place">
                <w:r>
                  <w:rPr>
                    <w:sz w:val="22"/>
                  </w:rPr>
                  <w:t>Reading</w:t>
                </w:r>
              </w:smartTag>
            </w:smartTag>
          </w:p>
        </w:tc>
        <w:tc>
          <w:tcPr>
            <w:tcW w:w="1080" w:type="dxa"/>
            <w:vAlign w:val="center"/>
          </w:tcPr>
          <w:p w:rsidR="001C1946" w:rsidRDefault="001C1946">
            <w:pPr>
              <w:jc w:val="center"/>
              <w:rPr>
                <w:sz w:val="22"/>
              </w:rPr>
            </w:pPr>
            <w:r>
              <w:rPr>
                <w:sz w:val="22"/>
              </w:rPr>
              <w:t>47.0%</w:t>
            </w:r>
          </w:p>
        </w:tc>
        <w:tc>
          <w:tcPr>
            <w:tcW w:w="1080" w:type="dxa"/>
            <w:vAlign w:val="center"/>
          </w:tcPr>
          <w:p w:rsidR="001C1946" w:rsidRDefault="001C1946">
            <w:pPr>
              <w:jc w:val="center"/>
              <w:rPr>
                <w:sz w:val="22"/>
              </w:rPr>
            </w:pPr>
            <w:r>
              <w:rPr>
                <w:sz w:val="22"/>
              </w:rPr>
              <w:t>57.8%</w:t>
            </w:r>
          </w:p>
        </w:tc>
        <w:tc>
          <w:tcPr>
            <w:tcW w:w="1080" w:type="dxa"/>
            <w:vAlign w:val="center"/>
          </w:tcPr>
          <w:p w:rsidR="001C1946" w:rsidRDefault="001C1946">
            <w:pPr>
              <w:jc w:val="center"/>
              <w:rPr>
                <w:sz w:val="22"/>
              </w:rPr>
            </w:pPr>
            <w:r>
              <w:rPr>
                <w:sz w:val="22"/>
              </w:rPr>
              <w:t>63.2%</w:t>
            </w:r>
          </w:p>
        </w:tc>
        <w:tc>
          <w:tcPr>
            <w:tcW w:w="1080" w:type="dxa"/>
            <w:vAlign w:val="center"/>
          </w:tcPr>
          <w:p w:rsidR="001C1946" w:rsidRDefault="001C1946">
            <w:pPr>
              <w:jc w:val="center"/>
              <w:rPr>
                <w:sz w:val="22"/>
              </w:rPr>
            </w:pPr>
            <w:r>
              <w:rPr>
                <w:sz w:val="22"/>
              </w:rPr>
              <w:t>68.9%</w:t>
            </w:r>
          </w:p>
        </w:tc>
        <w:tc>
          <w:tcPr>
            <w:tcW w:w="1080" w:type="dxa"/>
            <w:vAlign w:val="center"/>
          </w:tcPr>
          <w:p w:rsidR="001C1946" w:rsidRDefault="001C1946">
            <w:pPr>
              <w:jc w:val="center"/>
              <w:rPr>
                <w:sz w:val="22"/>
              </w:rPr>
            </w:pPr>
            <w:r>
              <w:rPr>
                <w:sz w:val="22"/>
              </w:rPr>
              <w:t>84.1%</w:t>
            </w:r>
          </w:p>
        </w:tc>
        <w:tc>
          <w:tcPr>
            <w:tcW w:w="1080" w:type="dxa"/>
            <w:vAlign w:val="center"/>
          </w:tcPr>
          <w:p w:rsidR="001C1946" w:rsidRDefault="001C1946">
            <w:pPr>
              <w:jc w:val="center"/>
              <w:rPr>
                <w:sz w:val="22"/>
              </w:rPr>
            </w:pPr>
            <w:r>
              <w:rPr>
                <w:sz w:val="22"/>
              </w:rPr>
              <w:t>78.0%</w:t>
            </w:r>
          </w:p>
        </w:tc>
      </w:tr>
      <w:tr w:rsidR="001C1946">
        <w:tblPrEx>
          <w:tblCellMar>
            <w:top w:w="0" w:type="dxa"/>
            <w:bottom w:w="0" w:type="dxa"/>
          </w:tblCellMar>
        </w:tblPrEx>
        <w:tc>
          <w:tcPr>
            <w:tcW w:w="1872" w:type="dxa"/>
          </w:tcPr>
          <w:p w:rsidR="001C1946" w:rsidRDefault="001C1946">
            <w:pPr>
              <w:rPr>
                <w:sz w:val="22"/>
              </w:rPr>
            </w:pPr>
            <w:r>
              <w:rPr>
                <w:sz w:val="22"/>
              </w:rPr>
              <w:t>Writing</w:t>
            </w:r>
          </w:p>
        </w:tc>
        <w:tc>
          <w:tcPr>
            <w:tcW w:w="1080" w:type="dxa"/>
            <w:vAlign w:val="center"/>
          </w:tcPr>
          <w:p w:rsidR="001C1946" w:rsidRDefault="001C1946">
            <w:pPr>
              <w:jc w:val="center"/>
              <w:rPr>
                <w:sz w:val="22"/>
              </w:rPr>
            </w:pPr>
            <w:r>
              <w:rPr>
                <w:sz w:val="22"/>
              </w:rPr>
              <w:t>34.5%</w:t>
            </w:r>
          </w:p>
        </w:tc>
        <w:tc>
          <w:tcPr>
            <w:tcW w:w="1080" w:type="dxa"/>
            <w:vAlign w:val="center"/>
          </w:tcPr>
          <w:p w:rsidR="001C1946" w:rsidRDefault="001C1946">
            <w:pPr>
              <w:jc w:val="center"/>
              <w:rPr>
                <w:sz w:val="22"/>
              </w:rPr>
            </w:pPr>
            <w:r>
              <w:rPr>
                <w:sz w:val="22"/>
              </w:rPr>
              <w:t>62.2%</w:t>
            </w:r>
          </w:p>
        </w:tc>
        <w:tc>
          <w:tcPr>
            <w:tcW w:w="1080" w:type="dxa"/>
            <w:vAlign w:val="center"/>
          </w:tcPr>
          <w:p w:rsidR="001C1946" w:rsidRDefault="001C1946">
            <w:pPr>
              <w:jc w:val="center"/>
              <w:rPr>
                <w:sz w:val="22"/>
              </w:rPr>
            </w:pPr>
            <w:r>
              <w:rPr>
                <w:sz w:val="22"/>
              </w:rPr>
              <w:t>59.8%</w:t>
            </w:r>
          </w:p>
        </w:tc>
        <w:tc>
          <w:tcPr>
            <w:tcW w:w="1080" w:type="dxa"/>
            <w:vAlign w:val="center"/>
          </w:tcPr>
          <w:p w:rsidR="001C1946" w:rsidRDefault="001C1946">
            <w:pPr>
              <w:jc w:val="center"/>
              <w:rPr>
                <w:sz w:val="22"/>
              </w:rPr>
            </w:pPr>
            <w:r>
              <w:rPr>
                <w:sz w:val="22"/>
              </w:rPr>
              <w:t>68.8%</w:t>
            </w:r>
          </w:p>
        </w:tc>
        <w:tc>
          <w:tcPr>
            <w:tcW w:w="1080" w:type="dxa"/>
            <w:vAlign w:val="center"/>
          </w:tcPr>
          <w:p w:rsidR="001C1946" w:rsidRDefault="001C1946">
            <w:pPr>
              <w:jc w:val="center"/>
              <w:rPr>
                <w:sz w:val="22"/>
              </w:rPr>
            </w:pPr>
            <w:r>
              <w:rPr>
                <w:sz w:val="22"/>
              </w:rPr>
              <w:t>69.7%</w:t>
            </w:r>
          </w:p>
        </w:tc>
        <w:tc>
          <w:tcPr>
            <w:tcW w:w="1080" w:type="dxa"/>
            <w:vAlign w:val="center"/>
          </w:tcPr>
          <w:p w:rsidR="001C1946" w:rsidRDefault="001C1946">
            <w:pPr>
              <w:jc w:val="center"/>
              <w:rPr>
                <w:sz w:val="22"/>
              </w:rPr>
            </w:pPr>
            <w:r>
              <w:rPr>
                <w:sz w:val="22"/>
              </w:rPr>
              <w:t>73.2%</w:t>
            </w:r>
          </w:p>
        </w:tc>
      </w:tr>
      <w:tr w:rsidR="001C1946">
        <w:tblPrEx>
          <w:tblCellMar>
            <w:top w:w="0" w:type="dxa"/>
            <w:bottom w:w="0" w:type="dxa"/>
          </w:tblCellMar>
        </w:tblPrEx>
        <w:tc>
          <w:tcPr>
            <w:tcW w:w="1872" w:type="dxa"/>
          </w:tcPr>
          <w:p w:rsidR="001C1946" w:rsidRDefault="001C1946">
            <w:pPr>
              <w:rPr>
                <w:sz w:val="22"/>
              </w:rPr>
            </w:pPr>
            <w:r>
              <w:rPr>
                <w:sz w:val="22"/>
              </w:rPr>
              <w:t>Mathematics</w:t>
            </w:r>
          </w:p>
        </w:tc>
        <w:tc>
          <w:tcPr>
            <w:tcW w:w="1080" w:type="dxa"/>
            <w:vAlign w:val="center"/>
          </w:tcPr>
          <w:p w:rsidR="001C1946" w:rsidRDefault="001C1946">
            <w:pPr>
              <w:jc w:val="center"/>
              <w:rPr>
                <w:sz w:val="22"/>
              </w:rPr>
            </w:pPr>
            <w:r>
              <w:rPr>
                <w:sz w:val="22"/>
              </w:rPr>
              <w:t>22.4%</w:t>
            </w:r>
          </w:p>
        </w:tc>
        <w:tc>
          <w:tcPr>
            <w:tcW w:w="1080" w:type="dxa"/>
            <w:vAlign w:val="center"/>
          </w:tcPr>
          <w:p w:rsidR="001C1946" w:rsidRDefault="001C1946">
            <w:pPr>
              <w:jc w:val="center"/>
              <w:rPr>
                <w:sz w:val="22"/>
              </w:rPr>
            </w:pPr>
            <w:r>
              <w:rPr>
                <w:sz w:val="22"/>
              </w:rPr>
              <w:t>41.2%</w:t>
            </w:r>
          </w:p>
        </w:tc>
        <w:tc>
          <w:tcPr>
            <w:tcW w:w="1080" w:type="dxa"/>
            <w:vAlign w:val="center"/>
          </w:tcPr>
          <w:p w:rsidR="001C1946" w:rsidRDefault="001C1946">
            <w:pPr>
              <w:jc w:val="center"/>
              <w:rPr>
                <w:sz w:val="22"/>
              </w:rPr>
            </w:pPr>
            <w:r>
              <w:rPr>
                <w:sz w:val="22"/>
              </w:rPr>
              <w:t>58.6%</w:t>
            </w:r>
          </w:p>
        </w:tc>
        <w:tc>
          <w:tcPr>
            <w:tcW w:w="1080" w:type="dxa"/>
            <w:vAlign w:val="center"/>
          </w:tcPr>
          <w:p w:rsidR="001C1946" w:rsidRDefault="001C1946">
            <w:pPr>
              <w:jc w:val="center"/>
              <w:rPr>
                <w:sz w:val="22"/>
              </w:rPr>
            </w:pPr>
            <w:r>
              <w:rPr>
                <w:sz w:val="22"/>
              </w:rPr>
              <w:t>56.1%</w:t>
            </w:r>
          </w:p>
        </w:tc>
        <w:tc>
          <w:tcPr>
            <w:tcW w:w="1080" w:type="dxa"/>
            <w:vAlign w:val="center"/>
          </w:tcPr>
          <w:p w:rsidR="001C1946" w:rsidRDefault="001C1946">
            <w:pPr>
              <w:jc w:val="center"/>
              <w:rPr>
                <w:sz w:val="22"/>
              </w:rPr>
            </w:pPr>
            <w:r>
              <w:rPr>
                <w:sz w:val="22"/>
              </w:rPr>
              <w:t>67.6%</w:t>
            </w:r>
          </w:p>
        </w:tc>
        <w:tc>
          <w:tcPr>
            <w:tcW w:w="1080" w:type="dxa"/>
            <w:vAlign w:val="center"/>
          </w:tcPr>
          <w:p w:rsidR="001C1946" w:rsidRDefault="001C1946">
            <w:pPr>
              <w:jc w:val="center"/>
              <w:rPr>
                <w:sz w:val="22"/>
              </w:rPr>
            </w:pPr>
            <w:r>
              <w:rPr>
                <w:sz w:val="22"/>
              </w:rPr>
              <w:t>71.5%</w:t>
            </w:r>
          </w:p>
        </w:tc>
      </w:tr>
    </w:tbl>
    <w:p w:rsidR="001C1946" w:rsidRDefault="001C1946"/>
    <w:p w:rsidR="001C1946" w:rsidRDefault="001C1946">
      <w:pPr>
        <w:spacing w:after="120"/>
        <w:rPr>
          <w:sz w:val="24"/>
        </w:rPr>
      </w:pPr>
      <w:r>
        <w:rPr>
          <w:sz w:val="24"/>
          <w:u w:val="single"/>
        </w:rPr>
        <w:t>TEA peer groups outperform charter schools on TAAS</w:t>
      </w:r>
      <w:r>
        <w:rPr>
          <w:sz w:val="24"/>
        </w:rPr>
        <w:t>. Charter school comparisons with their traditional public school “peer” groups (as determined by TEA based on comparable demographic characteristics) revealed the following trends:</w:t>
      </w:r>
    </w:p>
    <w:p w:rsidR="001C1946" w:rsidRDefault="001C1946">
      <w:pPr>
        <w:numPr>
          <w:ilvl w:val="0"/>
          <w:numId w:val="8"/>
        </w:numPr>
        <w:spacing w:after="120"/>
        <w:rPr>
          <w:sz w:val="24"/>
        </w:rPr>
      </w:pPr>
      <w:r>
        <w:rPr>
          <w:i/>
          <w:iCs/>
          <w:sz w:val="24"/>
        </w:rPr>
        <w:t>TEA matched peer groups outperform charter schools on TAAS</w:t>
      </w:r>
      <w:r>
        <w:rPr>
          <w:sz w:val="24"/>
        </w:rPr>
        <w:t>. Performance differences between charter schools and peer groups are large across all school types.</w:t>
      </w:r>
    </w:p>
    <w:p w:rsidR="001C1946" w:rsidRDefault="001C1946">
      <w:pPr>
        <w:numPr>
          <w:ilvl w:val="0"/>
          <w:numId w:val="8"/>
        </w:numPr>
        <w:rPr>
          <w:sz w:val="24"/>
        </w:rPr>
      </w:pPr>
      <w:r>
        <w:rPr>
          <w:i/>
          <w:iCs/>
          <w:sz w:val="24"/>
        </w:rPr>
        <w:t>The greatest TAAS performance disparity is for mathematics</w:t>
      </w:r>
      <w:r>
        <w:rPr>
          <w:sz w:val="24"/>
        </w:rPr>
        <w:t>. Mathematics performance for charter schools compares less favorably to the peer-group average than does reading performance, regardless of school type.</w:t>
      </w:r>
    </w:p>
    <w:p w:rsidR="001C1946" w:rsidRDefault="001C1946">
      <w:pPr>
        <w:rPr>
          <w:sz w:val="24"/>
        </w:rPr>
      </w:pPr>
    </w:p>
    <w:p w:rsidR="001C1946" w:rsidRDefault="001C1946">
      <w:pPr>
        <w:pStyle w:val="Heading4"/>
        <w:spacing w:after="60"/>
      </w:pPr>
      <w:proofErr w:type="gramStart"/>
      <w:r>
        <w:t>Table 4.</w:t>
      </w:r>
      <w:proofErr w:type="gramEnd"/>
      <w:r>
        <w:t xml:space="preserve">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Schools</w:t>
          </w:r>
        </w:smartTag>
      </w:smartTag>
      <w:r>
        <w:t xml:space="preserve"> and TEA Peer Groups, Comparison of TAAS Performance</w:t>
      </w:r>
    </w:p>
    <w:tbl>
      <w:tblPr>
        <w:tblW w:w="88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84"/>
        <w:gridCol w:w="984"/>
        <w:gridCol w:w="984"/>
        <w:gridCol w:w="984"/>
        <w:gridCol w:w="984"/>
        <w:gridCol w:w="984"/>
        <w:gridCol w:w="984"/>
        <w:gridCol w:w="984"/>
        <w:gridCol w:w="984"/>
      </w:tblGrid>
      <w:tr w:rsidR="001C1946">
        <w:tblPrEx>
          <w:tblCellMar>
            <w:top w:w="0" w:type="dxa"/>
            <w:bottom w:w="0" w:type="dxa"/>
          </w:tblCellMar>
        </w:tblPrEx>
        <w:trPr>
          <w:cantSplit/>
        </w:trPr>
        <w:tc>
          <w:tcPr>
            <w:tcW w:w="984" w:type="dxa"/>
            <w:vMerge w:val="restart"/>
            <w:shd w:val="clear" w:color="auto" w:fill="E0E0E0"/>
            <w:vAlign w:val="bottom"/>
          </w:tcPr>
          <w:p w:rsidR="001C1946" w:rsidRDefault="001C1946">
            <w:pPr>
              <w:pStyle w:val="FootnoteText"/>
              <w:jc w:val="center"/>
              <w:rPr>
                <w:sz w:val="22"/>
              </w:rPr>
            </w:pPr>
          </w:p>
        </w:tc>
        <w:tc>
          <w:tcPr>
            <w:tcW w:w="1968" w:type="dxa"/>
            <w:gridSpan w:val="2"/>
            <w:shd w:val="clear" w:color="auto" w:fill="E0E0E0"/>
            <w:vAlign w:val="bottom"/>
          </w:tcPr>
          <w:p w:rsidR="001C1946" w:rsidRDefault="001C1946">
            <w:pPr>
              <w:jc w:val="center"/>
              <w:rPr>
                <w:b/>
                <w:sz w:val="22"/>
              </w:rPr>
            </w:pPr>
            <w:r>
              <w:rPr>
                <w:b/>
                <w:sz w:val="22"/>
              </w:rPr>
              <w:t>All Charter Schools</w:t>
            </w:r>
          </w:p>
        </w:tc>
        <w:tc>
          <w:tcPr>
            <w:tcW w:w="1968" w:type="dxa"/>
            <w:gridSpan w:val="2"/>
            <w:shd w:val="clear" w:color="auto" w:fill="E0E0E0"/>
            <w:vAlign w:val="bottom"/>
          </w:tcPr>
          <w:p w:rsidR="001C1946" w:rsidRDefault="001C1946">
            <w:pPr>
              <w:jc w:val="center"/>
              <w:rPr>
                <w:b/>
                <w:sz w:val="22"/>
              </w:rPr>
            </w:pPr>
            <w:r>
              <w:rPr>
                <w:b/>
                <w:sz w:val="22"/>
              </w:rPr>
              <w:t xml:space="preserve">75% Rule </w:t>
            </w:r>
          </w:p>
          <w:p w:rsidR="001C1946" w:rsidRDefault="001C1946">
            <w:pPr>
              <w:jc w:val="center"/>
              <w:rPr>
                <w:b/>
                <w:sz w:val="22"/>
              </w:rPr>
            </w:pPr>
            <w:r>
              <w:rPr>
                <w:b/>
                <w:sz w:val="22"/>
              </w:rPr>
              <w:t>(N=9)</w:t>
            </w:r>
          </w:p>
        </w:tc>
        <w:tc>
          <w:tcPr>
            <w:tcW w:w="1968" w:type="dxa"/>
            <w:gridSpan w:val="2"/>
            <w:shd w:val="clear" w:color="auto" w:fill="E0E0E0"/>
            <w:vAlign w:val="bottom"/>
          </w:tcPr>
          <w:p w:rsidR="001C1946" w:rsidRDefault="001C1946">
            <w:pPr>
              <w:jc w:val="center"/>
              <w:rPr>
                <w:b/>
                <w:sz w:val="22"/>
              </w:rPr>
            </w:pPr>
            <w:r>
              <w:rPr>
                <w:b/>
                <w:sz w:val="22"/>
              </w:rPr>
              <w:t>Open-</w:t>
            </w:r>
            <w:proofErr w:type="spellStart"/>
            <w:r>
              <w:rPr>
                <w:b/>
                <w:sz w:val="22"/>
              </w:rPr>
              <w:t>Enr</w:t>
            </w:r>
            <w:proofErr w:type="spellEnd"/>
            <w:r>
              <w:rPr>
                <w:b/>
                <w:sz w:val="22"/>
              </w:rPr>
              <w:t xml:space="preserve"> ≥ 75% (N=8)</w:t>
            </w:r>
          </w:p>
        </w:tc>
        <w:tc>
          <w:tcPr>
            <w:tcW w:w="1968" w:type="dxa"/>
            <w:gridSpan w:val="2"/>
            <w:shd w:val="clear" w:color="auto" w:fill="E0E0E0"/>
            <w:vAlign w:val="bottom"/>
          </w:tcPr>
          <w:p w:rsidR="001C1946" w:rsidRDefault="001C1946">
            <w:pPr>
              <w:jc w:val="center"/>
              <w:rPr>
                <w:b/>
                <w:sz w:val="22"/>
              </w:rPr>
            </w:pPr>
            <w:r>
              <w:rPr>
                <w:b/>
                <w:sz w:val="22"/>
              </w:rPr>
              <w:t>Open-</w:t>
            </w:r>
            <w:proofErr w:type="spellStart"/>
            <w:r>
              <w:rPr>
                <w:b/>
                <w:sz w:val="22"/>
              </w:rPr>
              <w:t>Enr</w:t>
            </w:r>
            <w:proofErr w:type="spellEnd"/>
            <w:r>
              <w:rPr>
                <w:b/>
                <w:sz w:val="22"/>
              </w:rPr>
              <w:t xml:space="preserve"> &lt; 75% (N=36)</w:t>
            </w:r>
          </w:p>
        </w:tc>
      </w:tr>
      <w:tr w:rsidR="001C1946">
        <w:tblPrEx>
          <w:tblCellMar>
            <w:top w:w="0" w:type="dxa"/>
            <w:bottom w:w="0" w:type="dxa"/>
          </w:tblCellMar>
        </w:tblPrEx>
        <w:trPr>
          <w:cantSplit/>
        </w:trPr>
        <w:tc>
          <w:tcPr>
            <w:tcW w:w="984" w:type="dxa"/>
            <w:vMerge/>
            <w:shd w:val="clear" w:color="auto" w:fill="E0E0E0"/>
            <w:vAlign w:val="bottom"/>
          </w:tcPr>
          <w:p w:rsidR="001C1946" w:rsidRDefault="001C1946">
            <w:pPr>
              <w:jc w:val="center"/>
              <w:rPr>
                <w:sz w:val="22"/>
              </w:rPr>
            </w:pPr>
          </w:p>
        </w:tc>
        <w:tc>
          <w:tcPr>
            <w:tcW w:w="984" w:type="dxa"/>
            <w:shd w:val="clear" w:color="auto" w:fill="E0E0E0"/>
            <w:vAlign w:val="bottom"/>
          </w:tcPr>
          <w:p w:rsidR="001C1946" w:rsidRDefault="001C1946">
            <w:pPr>
              <w:jc w:val="center"/>
              <w:rPr>
                <w:b/>
                <w:sz w:val="22"/>
              </w:rPr>
            </w:pPr>
            <w:r>
              <w:rPr>
                <w:b/>
                <w:sz w:val="22"/>
              </w:rPr>
              <w:t>Charter</w:t>
            </w:r>
          </w:p>
        </w:tc>
        <w:tc>
          <w:tcPr>
            <w:tcW w:w="984" w:type="dxa"/>
            <w:shd w:val="clear" w:color="auto" w:fill="E0E0E0"/>
            <w:vAlign w:val="bottom"/>
          </w:tcPr>
          <w:p w:rsidR="001C1946" w:rsidRDefault="001C1946">
            <w:pPr>
              <w:jc w:val="center"/>
              <w:rPr>
                <w:b/>
                <w:sz w:val="22"/>
              </w:rPr>
            </w:pPr>
            <w:r>
              <w:rPr>
                <w:b/>
                <w:sz w:val="22"/>
              </w:rPr>
              <w:t>Peers</w:t>
            </w:r>
          </w:p>
        </w:tc>
        <w:tc>
          <w:tcPr>
            <w:tcW w:w="984" w:type="dxa"/>
            <w:shd w:val="clear" w:color="auto" w:fill="E0E0E0"/>
            <w:vAlign w:val="bottom"/>
          </w:tcPr>
          <w:p w:rsidR="001C1946" w:rsidRDefault="001C1946">
            <w:pPr>
              <w:jc w:val="center"/>
              <w:rPr>
                <w:b/>
                <w:sz w:val="22"/>
              </w:rPr>
            </w:pPr>
            <w:r>
              <w:rPr>
                <w:b/>
                <w:sz w:val="22"/>
              </w:rPr>
              <w:t>Charter</w:t>
            </w:r>
          </w:p>
        </w:tc>
        <w:tc>
          <w:tcPr>
            <w:tcW w:w="984" w:type="dxa"/>
            <w:shd w:val="clear" w:color="auto" w:fill="E0E0E0"/>
            <w:vAlign w:val="bottom"/>
          </w:tcPr>
          <w:p w:rsidR="001C1946" w:rsidRDefault="001C1946">
            <w:pPr>
              <w:jc w:val="center"/>
              <w:rPr>
                <w:b/>
                <w:sz w:val="22"/>
              </w:rPr>
            </w:pPr>
            <w:r>
              <w:rPr>
                <w:b/>
                <w:sz w:val="22"/>
              </w:rPr>
              <w:t>Peers</w:t>
            </w:r>
          </w:p>
        </w:tc>
        <w:tc>
          <w:tcPr>
            <w:tcW w:w="984" w:type="dxa"/>
            <w:shd w:val="clear" w:color="auto" w:fill="E0E0E0"/>
            <w:vAlign w:val="bottom"/>
          </w:tcPr>
          <w:p w:rsidR="001C1946" w:rsidRDefault="001C1946">
            <w:pPr>
              <w:jc w:val="center"/>
              <w:rPr>
                <w:b/>
                <w:sz w:val="22"/>
              </w:rPr>
            </w:pPr>
            <w:r>
              <w:rPr>
                <w:b/>
                <w:sz w:val="22"/>
              </w:rPr>
              <w:t>Charter</w:t>
            </w:r>
          </w:p>
        </w:tc>
        <w:tc>
          <w:tcPr>
            <w:tcW w:w="984" w:type="dxa"/>
            <w:shd w:val="clear" w:color="auto" w:fill="E0E0E0"/>
            <w:vAlign w:val="bottom"/>
          </w:tcPr>
          <w:p w:rsidR="001C1946" w:rsidRDefault="001C1946">
            <w:pPr>
              <w:jc w:val="center"/>
              <w:rPr>
                <w:b/>
                <w:sz w:val="22"/>
              </w:rPr>
            </w:pPr>
            <w:r>
              <w:rPr>
                <w:b/>
                <w:sz w:val="22"/>
              </w:rPr>
              <w:t>Peers</w:t>
            </w:r>
          </w:p>
        </w:tc>
        <w:tc>
          <w:tcPr>
            <w:tcW w:w="984" w:type="dxa"/>
            <w:shd w:val="clear" w:color="auto" w:fill="E0E0E0"/>
            <w:vAlign w:val="bottom"/>
          </w:tcPr>
          <w:p w:rsidR="001C1946" w:rsidRDefault="001C1946">
            <w:pPr>
              <w:jc w:val="center"/>
              <w:rPr>
                <w:b/>
                <w:sz w:val="22"/>
              </w:rPr>
            </w:pPr>
            <w:r>
              <w:rPr>
                <w:b/>
                <w:sz w:val="22"/>
              </w:rPr>
              <w:t>Charter</w:t>
            </w:r>
          </w:p>
        </w:tc>
        <w:tc>
          <w:tcPr>
            <w:tcW w:w="984" w:type="dxa"/>
            <w:shd w:val="clear" w:color="auto" w:fill="E0E0E0"/>
            <w:vAlign w:val="bottom"/>
          </w:tcPr>
          <w:p w:rsidR="001C1946" w:rsidRDefault="001C1946">
            <w:pPr>
              <w:jc w:val="center"/>
              <w:rPr>
                <w:b/>
                <w:sz w:val="22"/>
              </w:rPr>
            </w:pPr>
            <w:r>
              <w:rPr>
                <w:b/>
                <w:sz w:val="22"/>
              </w:rPr>
              <w:t>Peers</w:t>
            </w:r>
          </w:p>
        </w:tc>
      </w:tr>
      <w:tr w:rsidR="001C1946">
        <w:tblPrEx>
          <w:tblCellMar>
            <w:top w:w="0" w:type="dxa"/>
            <w:bottom w:w="0" w:type="dxa"/>
          </w:tblCellMar>
        </w:tblPrEx>
        <w:tc>
          <w:tcPr>
            <w:tcW w:w="984" w:type="dxa"/>
          </w:tcPr>
          <w:p w:rsidR="001C1946" w:rsidRDefault="001C1946">
            <w:pPr>
              <w:rPr>
                <w:sz w:val="22"/>
              </w:rPr>
            </w:pPr>
            <w:r>
              <w:rPr>
                <w:sz w:val="22"/>
              </w:rPr>
              <w:t>All tests</w:t>
            </w:r>
          </w:p>
        </w:tc>
        <w:tc>
          <w:tcPr>
            <w:tcW w:w="984" w:type="dxa"/>
            <w:vAlign w:val="center"/>
          </w:tcPr>
          <w:p w:rsidR="001C1946" w:rsidRDefault="001C1946">
            <w:pPr>
              <w:jc w:val="center"/>
              <w:rPr>
                <w:sz w:val="22"/>
              </w:rPr>
            </w:pPr>
            <w:r>
              <w:rPr>
                <w:sz w:val="22"/>
              </w:rPr>
              <w:t>43.1%</w:t>
            </w:r>
          </w:p>
        </w:tc>
        <w:tc>
          <w:tcPr>
            <w:tcW w:w="984" w:type="dxa"/>
            <w:vAlign w:val="center"/>
          </w:tcPr>
          <w:p w:rsidR="001C1946" w:rsidRDefault="001C1946">
            <w:pPr>
              <w:jc w:val="center"/>
              <w:rPr>
                <w:sz w:val="22"/>
              </w:rPr>
            </w:pPr>
            <w:r>
              <w:rPr>
                <w:sz w:val="22"/>
              </w:rPr>
              <w:t>76.6%</w:t>
            </w:r>
          </w:p>
        </w:tc>
        <w:tc>
          <w:tcPr>
            <w:tcW w:w="984" w:type="dxa"/>
            <w:vAlign w:val="center"/>
          </w:tcPr>
          <w:p w:rsidR="001C1946" w:rsidRDefault="001C1946">
            <w:pPr>
              <w:jc w:val="center"/>
              <w:rPr>
                <w:sz w:val="22"/>
              </w:rPr>
            </w:pPr>
            <w:r>
              <w:rPr>
                <w:sz w:val="22"/>
              </w:rPr>
              <w:t>34.9%</w:t>
            </w:r>
          </w:p>
        </w:tc>
        <w:tc>
          <w:tcPr>
            <w:tcW w:w="984" w:type="dxa"/>
            <w:vAlign w:val="center"/>
          </w:tcPr>
          <w:p w:rsidR="001C1946" w:rsidRDefault="001C1946">
            <w:pPr>
              <w:jc w:val="center"/>
              <w:rPr>
                <w:sz w:val="22"/>
              </w:rPr>
            </w:pPr>
            <w:r>
              <w:rPr>
                <w:sz w:val="22"/>
              </w:rPr>
              <w:t>72.8%</w:t>
            </w:r>
          </w:p>
        </w:tc>
        <w:tc>
          <w:tcPr>
            <w:tcW w:w="984" w:type="dxa"/>
            <w:vAlign w:val="center"/>
          </w:tcPr>
          <w:p w:rsidR="001C1946" w:rsidRDefault="001C1946">
            <w:pPr>
              <w:jc w:val="center"/>
              <w:rPr>
                <w:sz w:val="22"/>
              </w:rPr>
            </w:pPr>
            <w:r>
              <w:rPr>
                <w:sz w:val="22"/>
              </w:rPr>
              <w:t>41.4%</w:t>
            </w:r>
          </w:p>
        </w:tc>
        <w:tc>
          <w:tcPr>
            <w:tcW w:w="984" w:type="dxa"/>
            <w:vAlign w:val="center"/>
          </w:tcPr>
          <w:p w:rsidR="001C1946" w:rsidRDefault="001C1946">
            <w:pPr>
              <w:jc w:val="center"/>
              <w:rPr>
                <w:sz w:val="22"/>
              </w:rPr>
            </w:pPr>
            <w:r>
              <w:rPr>
                <w:sz w:val="22"/>
              </w:rPr>
              <w:t>73.6%</w:t>
            </w:r>
          </w:p>
        </w:tc>
        <w:tc>
          <w:tcPr>
            <w:tcW w:w="984" w:type="dxa"/>
            <w:vAlign w:val="center"/>
          </w:tcPr>
          <w:p w:rsidR="001C1946" w:rsidRDefault="001C1946">
            <w:pPr>
              <w:jc w:val="center"/>
              <w:rPr>
                <w:sz w:val="22"/>
              </w:rPr>
            </w:pPr>
            <w:r>
              <w:rPr>
                <w:sz w:val="22"/>
              </w:rPr>
              <w:t>50.4%</w:t>
            </w:r>
          </w:p>
        </w:tc>
        <w:tc>
          <w:tcPr>
            <w:tcW w:w="984" w:type="dxa"/>
            <w:vAlign w:val="center"/>
          </w:tcPr>
          <w:p w:rsidR="001C1946" w:rsidRDefault="001C1946">
            <w:pPr>
              <w:jc w:val="center"/>
              <w:rPr>
                <w:sz w:val="22"/>
              </w:rPr>
            </w:pPr>
            <w:r>
              <w:rPr>
                <w:sz w:val="22"/>
              </w:rPr>
              <w:t>78.2%</w:t>
            </w:r>
          </w:p>
        </w:tc>
      </w:tr>
      <w:tr w:rsidR="001C1946">
        <w:tblPrEx>
          <w:tblCellMar>
            <w:top w:w="0" w:type="dxa"/>
            <w:bottom w:w="0" w:type="dxa"/>
          </w:tblCellMar>
        </w:tblPrEx>
        <w:tc>
          <w:tcPr>
            <w:tcW w:w="984" w:type="dxa"/>
          </w:tcPr>
          <w:p w:rsidR="001C1946" w:rsidRDefault="001C1946">
            <w:pPr>
              <w:rPr>
                <w:sz w:val="22"/>
              </w:rPr>
            </w:pPr>
            <w:smartTag w:uri="urn:schemas-microsoft-com:office:smarttags" w:element="City">
              <w:smartTag w:uri="urn:schemas-microsoft-com:office:smarttags" w:element="place">
                <w:r>
                  <w:rPr>
                    <w:sz w:val="22"/>
                  </w:rPr>
                  <w:t>Reading</w:t>
                </w:r>
              </w:smartTag>
            </w:smartTag>
          </w:p>
        </w:tc>
        <w:tc>
          <w:tcPr>
            <w:tcW w:w="984" w:type="dxa"/>
            <w:vAlign w:val="center"/>
          </w:tcPr>
          <w:p w:rsidR="001C1946" w:rsidRDefault="001C1946">
            <w:pPr>
              <w:jc w:val="center"/>
              <w:rPr>
                <w:sz w:val="22"/>
              </w:rPr>
            </w:pPr>
            <w:r>
              <w:rPr>
                <w:sz w:val="22"/>
              </w:rPr>
              <w:t>64.2%</w:t>
            </w:r>
          </w:p>
        </w:tc>
        <w:tc>
          <w:tcPr>
            <w:tcW w:w="984" w:type="dxa"/>
            <w:vAlign w:val="center"/>
          </w:tcPr>
          <w:p w:rsidR="001C1946" w:rsidRDefault="001C1946">
            <w:pPr>
              <w:jc w:val="center"/>
              <w:rPr>
                <w:sz w:val="22"/>
              </w:rPr>
            </w:pPr>
            <w:r>
              <w:rPr>
                <w:sz w:val="22"/>
              </w:rPr>
              <w:t>86.2%</w:t>
            </w:r>
          </w:p>
        </w:tc>
        <w:tc>
          <w:tcPr>
            <w:tcW w:w="984" w:type="dxa"/>
            <w:vAlign w:val="center"/>
          </w:tcPr>
          <w:p w:rsidR="001C1946" w:rsidRDefault="001C1946">
            <w:pPr>
              <w:jc w:val="center"/>
              <w:rPr>
                <w:sz w:val="22"/>
              </w:rPr>
            </w:pPr>
            <w:r>
              <w:rPr>
                <w:sz w:val="22"/>
              </w:rPr>
              <w:t>56.6%</w:t>
            </w:r>
          </w:p>
        </w:tc>
        <w:tc>
          <w:tcPr>
            <w:tcW w:w="984" w:type="dxa"/>
            <w:vAlign w:val="center"/>
          </w:tcPr>
          <w:p w:rsidR="001C1946" w:rsidRDefault="001C1946">
            <w:pPr>
              <w:jc w:val="center"/>
              <w:rPr>
                <w:sz w:val="22"/>
              </w:rPr>
            </w:pPr>
            <w:r>
              <w:rPr>
                <w:sz w:val="22"/>
              </w:rPr>
              <w:t>84.1%</w:t>
            </w:r>
          </w:p>
        </w:tc>
        <w:tc>
          <w:tcPr>
            <w:tcW w:w="984" w:type="dxa"/>
            <w:vAlign w:val="center"/>
          </w:tcPr>
          <w:p w:rsidR="001C1946" w:rsidRDefault="001C1946">
            <w:pPr>
              <w:jc w:val="center"/>
              <w:rPr>
                <w:sz w:val="22"/>
              </w:rPr>
            </w:pPr>
            <w:r>
              <w:rPr>
                <w:sz w:val="22"/>
              </w:rPr>
              <w:t>56.6%</w:t>
            </w:r>
          </w:p>
        </w:tc>
        <w:tc>
          <w:tcPr>
            <w:tcW w:w="984" w:type="dxa"/>
            <w:vAlign w:val="center"/>
          </w:tcPr>
          <w:p w:rsidR="001C1946" w:rsidRDefault="001C1946">
            <w:pPr>
              <w:jc w:val="center"/>
              <w:rPr>
                <w:sz w:val="22"/>
              </w:rPr>
            </w:pPr>
            <w:r>
              <w:rPr>
                <w:sz w:val="22"/>
              </w:rPr>
              <w:t>83.1%</w:t>
            </w:r>
          </w:p>
        </w:tc>
        <w:tc>
          <w:tcPr>
            <w:tcW w:w="984" w:type="dxa"/>
            <w:vAlign w:val="center"/>
          </w:tcPr>
          <w:p w:rsidR="001C1946" w:rsidRDefault="001C1946">
            <w:pPr>
              <w:jc w:val="center"/>
              <w:rPr>
                <w:sz w:val="22"/>
              </w:rPr>
            </w:pPr>
            <w:r>
              <w:rPr>
                <w:sz w:val="22"/>
              </w:rPr>
              <w:t>71.2%</w:t>
            </w:r>
          </w:p>
        </w:tc>
        <w:tc>
          <w:tcPr>
            <w:tcW w:w="984" w:type="dxa"/>
            <w:vAlign w:val="center"/>
          </w:tcPr>
          <w:p w:rsidR="001C1946" w:rsidRDefault="001C1946">
            <w:pPr>
              <w:jc w:val="center"/>
              <w:rPr>
                <w:sz w:val="22"/>
              </w:rPr>
            </w:pPr>
            <w:r>
              <w:rPr>
                <w:sz w:val="22"/>
              </w:rPr>
              <w:t>87.5%</w:t>
            </w:r>
          </w:p>
        </w:tc>
      </w:tr>
      <w:tr w:rsidR="001C1946">
        <w:tblPrEx>
          <w:tblCellMar>
            <w:top w:w="0" w:type="dxa"/>
            <w:bottom w:w="0" w:type="dxa"/>
          </w:tblCellMar>
        </w:tblPrEx>
        <w:tc>
          <w:tcPr>
            <w:tcW w:w="984" w:type="dxa"/>
          </w:tcPr>
          <w:p w:rsidR="001C1946" w:rsidRDefault="001C1946">
            <w:pPr>
              <w:rPr>
                <w:sz w:val="22"/>
              </w:rPr>
            </w:pPr>
            <w:r>
              <w:rPr>
                <w:sz w:val="22"/>
              </w:rPr>
              <w:t>Math</w:t>
            </w:r>
          </w:p>
        </w:tc>
        <w:tc>
          <w:tcPr>
            <w:tcW w:w="984" w:type="dxa"/>
            <w:vAlign w:val="center"/>
          </w:tcPr>
          <w:p w:rsidR="001C1946" w:rsidRDefault="001C1946">
            <w:pPr>
              <w:jc w:val="center"/>
              <w:rPr>
                <w:sz w:val="22"/>
              </w:rPr>
            </w:pPr>
            <w:r>
              <w:rPr>
                <w:sz w:val="22"/>
              </w:rPr>
              <w:t>52.5%</w:t>
            </w:r>
          </w:p>
        </w:tc>
        <w:tc>
          <w:tcPr>
            <w:tcW w:w="984" w:type="dxa"/>
            <w:vAlign w:val="center"/>
          </w:tcPr>
          <w:p w:rsidR="001C1946" w:rsidRDefault="001C1946">
            <w:pPr>
              <w:jc w:val="center"/>
              <w:rPr>
                <w:sz w:val="22"/>
              </w:rPr>
            </w:pPr>
            <w:r>
              <w:rPr>
                <w:sz w:val="22"/>
              </w:rPr>
              <w:t>84.5%</w:t>
            </w:r>
          </w:p>
        </w:tc>
        <w:tc>
          <w:tcPr>
            <w:tcW w:w="984" w:type="dxa"/>
            <w:vAlign w:val="center"/>
          </w:tcPr>
          <w:p w:rsidR="001C1946" w:rsidRDefault="001C1946">
            <w:pPr>
              <w:jc w:val="center"/>
              <w:rPr>
                <w:sz w:val="22"/>
              </w:rPr>
            </w:pPr>
            <w:r>
              <w:rPr>
                <w:sz w:val="22"/>
              </w:rPr>
              <w:t>45.0%</w:t>
            </w:r>
          </w:p>
        </w:tc>
        <w:tc>
          <w:tcPr>
            <w:tcW w:w="984" w:type="dxa"/>
            <w:vAlign w:val="center"/>
          </w:tcPr>
          <w:p w:rsidR="001C1946" w:rsidRDefault="001C1946">
            <w:pPr>
              <w:jc w:val="center"/>
              <w:rPr>
                <w:sz w:val="22"/>
              </w:rPr>
            </w:pPr>
            <w:r>
              <w:rPr>
                <w:sz w:val="22"/>
              </w:rPr>
              <w:t>81.8%</w:t>
            </w:r>
          </w:p>
        </w:tc>
        <w:tc>
          <w:tcPr>
            <w:tcW w:w="984" w:type="dxa"/>
            <w:vAlign w:val="center"/>
          </w:tcPr>
          <w:p w:rsidR="001C1946" w:rsidRDefault="001C1946">
            <w:pPr>
              <w:jc w:val="center"/>
              <w:rPr>
                <w:sz w:val="22"/>
              </w:rPr>
            </w:pPr>
            <w:r>
              <w:rPr>
                <w:sz w:val="22"/>
              </w:rPr>
              <w:t>45.0%</w:t>
            </w:r>
          </w:p>
        </w:tc>
        <w:tc>
          <w:tcPr>
            <w:tcW w:w="984" w:type="dxa"/>
            <w:vAlign w:val="center"/>
          </w:tcPr>
          <w:p w:rsidR="001C1946" w:rsidRDefault="001C1946">
            <w:pPr>
              <w:jc w:val="center"/>
              <w:rPr>
                <w:sz w:val="22"/>
              </w:rPr>
            </w:pPr>
            <w:r>
              <w:rPr>
                <w:sz w:val="22"/>
              </w:rPr>
              <w:t>83.6%</w:t>
            </w:r>
          </w:p>
        </w:tc>
        <w:tc>
          <w:tcPr>
            <w:tcW w:w="984" w:type="dxa"/>
            <w:vAlign w:val="center"/>
          </w:tcPr>
          <w:p w:rsidR="001C1946" w:rsidRDefault="001C1946">
            <w:pPr>
              <w:jc w:val="center"/>
              <w:rPr>
                <w:sz w:val="22"/>
              </w:rPr>
            </w:pPr>
            <w:r>
              <w:rPr>
                <w:sz w:val="22"/>
              </w:rPr>
              <w:t>58.9%</w:t>
            </w:r>
          </w:p>
        </w:tc>
        <w:tc>
          <w:tcPr>
            <w:tcW w:w="984" w:type="dxa"/>
            <w:vAlign w:val="center"/>
          </w:tcPr>
          <w:p w:rsidR="001C1946" w:rsidRDefault="001C1946">
            <w:pPr>
              <w:jc w:val="center"/>
              <w:rPr>
                <w:sz w:val="22"/>
              </w:rPr>
            </w:pPr>
            <w:r>
              <w:rPr>
                <w:sz w:val="22"/>
              </w:rPr>
              <w:t>85.4%</w:t>
            </w:r>
          </w:p>
        </w:tc>
      </w:tr>
    </w:tbl>
    <w:p w:rsidR="001C1946" w:rsidRDefault="001C1946">
      <w:pPr>
        <w:pStyle w:val="Caption"/>
      </w:pPr>
      <w:proofErr w:type="gramStart"/>
      <w:r>
        <w:t>Source.</w:t>
      </w:r>
      <w:proofErr w:type="gramEnd"/>
      <w:r>
        <w:t xml:space="preserve"> </w:t>
      </w:r>
      <w:proofErr w:type="gramStart"/>
      <w:r>
        <w:rPr>
          <w:i w:val="0"/>
          <w:iCs/>
        </w:rPr>
        <w:t>1999-00 TEA AEIS database.</w:t>
      </w:r>
      <w:proofErr w:type="gramEnd"/>
      <w:r>
        <w:rPr>
          <w:i w:val="0"/>
          <w:iCs/>
        </w:rPr>
        <w:t xml:space="preserve"> Peer groups have been identified for less than half of charter schools</w:t>
      </w:r>
      <w:r>
        <w:t>.</w:t>
      </w:r>
    </w:p>
    <w:p w:rsidR="001C1946" w:rsidRDefault="001C1946">
      <w:pPr>
        <w:rPr>
          <w:sz w:val="24"/>
        </w:rPr>
      </w:pPr>
    </w:p>
    <w:p w:rsidR="001C1946" w:rsidRDefault="001C1946">
      <w:pPr>
        <w:rPr>
          <w:sz w:val="24"/>
        </w:rPr>
      </w:pPr>
      <w:r>
        <w:rPr>
          <w:sz w:val="24"/>
          <w:u w:val="single"/>
        </w:rPr>
        <w:t>Charter schools have greater advanced course completions but lower performance on end-of-course exams</w:t>
      </w:r>
      <w:r>
        <w:rPr>
          <w:sz w:val="24"/>
        </w:rPr>
        <w:t>. Compared to analogous state comparison group averages, charter school students have higher percentages of advanced course completions but lower passing rates on end-of-course exams (see Table 5). Interestingly, districts set standards for course completions, while end-of-course exams are administered and scored by TEA.</w:t>
      </w:r>
    </w:p>
    <w:p w:rsidR="001C1946" w:rsidRDefault="001C1946">
      <w:pPr>
        <w:pStyle w:val="Header"/>
        <w:tabs>
          <w:tab w:val="clear" w:pos="4320"/>
          <w:tab w:val="clear" w:pos="8640"/>
        </w:tabs>
        <w:spacing w:after="60"/>
        <w:rPr>
          <w:b/>
          <w:sz w:val="22"/>
        </w:rPr>
      </w:pPr>
      <w:proofErr w:type="gramStart"/>
      <w:r>
        <w:rPr>
          <w:b/>
          <w:sz w:val="22"/>
        </w:rPr>
        <w:t>Table 5.</w:t>
      </w:r>
      <w:proofErr w:type="gramEnd"/>
      <w:r>
        <w:rPr>
          <w:b/>
          <w:sz w:val="22"/>
        </w:rPr>
        <w:t xml:space="preserve"> End-of-Course and Advanced Course Performance</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808"/>
        <w:gridCol w:w="1872"/>
        <w:gridCol w:w="1440"/>
        <w:gridCol w:w="1188"/>
        <w:gridCol w:w="1332"/>
      </w:tblGrid>
      <w:tr w:rsidR="001C1946">
        <w:tblPrEx>
          <w:tblCellMar>
            <w:top w:w="0" w:type="dxa"/>
            <w:bottom w:w="0" w:type="dxa"/>
          </w:tblCellMar>
        </w:tblPrEx>
        <w:tc>
          <w:tcPr>
            <w:tcW w:w="2808" w:type="dxa"/>
            <w:shd w:val="clear" w:color="auto" w:fill="E0E0E0"/>
            <w:vAlign w:val="bottom"/>
          </w:tcPr>
          <w:p w:rsidR="001C1946" w:rsidRDefault="001C1946">
            <w:pPr>
              <w:pStyle w:val="Header"/>
              <w:tabs>
                <w:tab w:val="clear" w:pos="4320"/>
                <w:tab w:val="clear" w:pos="8640"/>
              </w:tabs>
              <w:rPr>
                <w:b/>
                <w:sz w:val="22"/>
              </w:rPr>
            </w:pPr>
            <w:r>
              <w:rPr>
                <w:b/>
                <w:sz w:val="22"/>
              </w:rPr>
              <w:t>Outcome Measure</w:t>
            </w:r>
          </w:p>
        </w:tc>
        <w:tc>
          <w:tcPr>
            <w:tcW w:w="1872" w:type="dxa"/>
            <w:shd w:val="clear" w:color="auto" w:fill="E0E0E0"/>
            <w:vAlign w:val="bottom"/>
          </w:tcPr>
          <w:p w:rsidR="001C1946" w:rsidRDefault="001C1946">
            <w:pPr>
              <w:pStyle w:val="Header"/>
              <w:tabs>
                <w:tab w:val="clear" w:pos="4320"/>
                <w:tab w:val="clear" w:pos="8640"/>
              </w:tabs>
              <w:jc w:val="center"/>
              <w:rPr>
                <w:b/>
                <w:sz w:val="22"/>
              </w:rPr>
            </w:pPr>
            <w:r>
              <w:rPr>
                <w:b/>
                <w:sz w:val="22"/>
              </w:rPr>
              <w:t>75% Rule and Open-</w:t>
            </w:r>
            <w:proofErr w:type="spellStart"/>
            <w:r>
              <w:rPr>
                <w:b/>
                <w:sz w:val="22"/>
              </w:rPr>
              <w:t>Enr</w:t>
            </w:r>
            <w:proofErr w:type="spellEnd"/>
            <w:r>
              <w:rPr>
                <w:b/>
                <w:sz w:val="22"/>
              </w:rPr>
              <w:t xml:space="preserve"> ≥ 75%</w:t>
            </w:r>
          </w:p>
        </w:tc>
        <w:tc>
          <w:tcPr>
            <w:tcW w:w="1440" w:type="dxa"/>
            <w:shd w:val="clear" w:color="auto" w:fill="E0E0E0"/>
            <w:vAlign w:val="bottom"/>
          </w:tcPr>
          <w:p w:rsidR="001C1946" w:rsidRDefault="001C1946">
            <w:pPr>
              <w:pStyle w:val="Header"/>
              <w:tabs>
                <w:tab w:val="clear" w:pos="4320"/>
                <w:tab w:val="clear" w:pos="8640"/>
              </w:tabs>
              <w:jc w:val="center"/>
              <w:rPr>
                <w:b/>
                <w:sz w:val="22"/>
              </w:rPr>
            </w:pPr>
            <w:r>
              <w:rPr>
                <w:b/>
                <w:sz w:val="22"/>
              </w:rPr>
              <w:t>State Eco-</w:t>
            </w:r>
            <w:proofErr w:type="spellStart"/>
            <w:r>
              <w:rPr>
                <w:b/>
                <w:sz w:val="22"/>
              </w:rPr>
              <w:t>Dis</w:t>
            </w:r>
            <w:proofErr w:type="spellEnd"/>
            <w:r>
              <w:rPr>
                <w:b/>
                <w:sz w:val="22"/>
              </w:rPr>
              <w:t xml:space="preserve"> Students</w:t>
            </w:r>
          </w:p>
        </w:tc>
        <w:tc>
          <w:tcPr>
            <w:tcW w:w="1188" w:type="dxa"/>
            <w:shd w:val="clear" w:color="auto" w:fill="E0E0E0"/>
            <w:vAlign w:val="bottom"/>
          </w:tcPr>
          <w:p w:rsidR="001C1946" w:rsidRDefault="001C1946">
            <w:pPr>
              <w:pStyle w:val="Header"/>
              <w:tabs>
                <w:tab w:val="clear" w:pos="4320"/>
                <w:tab w:val="clear" w:pos="8640"/>
              </w:tabs>
              <w:jc w:val="center"/>
              <w:rPr>
                <w:b/>
                <w:sz w:val="22"/>
              </w:rPr>
            </w:pPr>
            <w:r>
              <w:rPr>
                <w:b/>
                <w:sz w:val="22"/>
              </w:rPr>
              <w:t>Open-</w:t>
            </w:r>
            <w:proofErr w:type="spellStart"/>
            <w:r>
              <w:rPr>
                <w:b/>
                <w:sz w:val="22"/>
              </w:rPr>
              <w:t>Enr</w:t>
            </w:r>
            <w:proofErr w:type="spellEnd"/>
            <w:r>
              <w:rPr>
                <w:b/>
                <w:sz w:val="22"/>
              </w:rPr>
              <w:t xml:space="preserve"> &lt; 75%</w:t>
            </w:r>
          </w:p>
        </w:tc>
        <w:tc>
          <w:tcPr>
            <w:tcW w:w="1332" w:type="dxa"/>
            <w:shd w:val="clear" w:color="auto" w:fill="E0E0E0"/>
            <w:vAlign w:val="bottom"/>
          </w:tcPr>
          <w:p w:rsidR="001C1946" w:rsidRDefault="001C1946">
            <w:pPr>
              <w:pStyle w:val="Header"/>
              <w:tabs>
                <w:tab w:val="clear" w:pos="4320"/>
                <w:tab w:val="clear" w:pos="8640"/>
              </w:tabs>
              <w:jc w:val="center"/>
              <w:rPr>
                <w:b/>
                <w:sz w:val="22"/>
              </w:rPr>
            </w:pPr>
            <w:r>
              <w:rPr>
                <w:b/>
                <w:sz w:val="22"/>
              </w:rPr>
              <w:t>State All Students</w:t>
            </w:r>
          </w:p>
        </w:tc>
      </w:tr>
      <w:tr w:rsidR="001C1946">
        <w:tblPrEx>
          <w:tblCellMar>
            <w:top w:w="0" w:type="dxa"/>
            <w:bottom w:w="0" w:type="dxa"/>
          </w:tblCellMar>
        </w:tblPrEx>
        <w:tc>
          <w:tcPr>
            <w:tcW w:w="2808" w:type="dxa"/>
          </w:tcPr>
          <w:p w:rsidR="001C1946" w:rsidRDefault="001C1946">
            <w:pPr>
              <w:pStyle w:val="Header"/>
              <w:tabs>
                <w:tab w:val="clear" w:pos="4320"/>
                <w:tab w:val="clear" w:pos="8640"/>
              </w:tabs>
              <w:rPr>
                <w:sz w:val="22"/>
              </w:rPr>
            </w:pPr>
            <w:r>
              <w:rPr>
                <w:sz w:val="22"/>
              </w:rPr>
              <w:t>Advanced course completion</w:t>
            </w:r>
          </w:p>
        </w:tc>
        <w:tc>
          <w:tcPr>
            <w:tcW w:w="1872" w:type="dxa"/>
            <w:vAlign w:val="center"/>
          </w:tcPr>
          <w:p w:rsidR="001C1946" w:rsidRDefault="001C1946">
            <w:pPr>
              <w:pStyle w:val="Header"/>
              <w:tabs>
                <w:tab w:val="clear" w:pos="4320"/>
                <w:tab w:val="clear" w:pos="8640"/>
              </w:tabs>
              <w:jc w:val="center"/>
              <w:rPr>
                <w:sz w:val="22"/>
              </w:rPr>
            </w:pPr>
            <w:r>
              <w:rPr>
                <w:sz w:val="22"/>
              </w:rPr>
              <w:t>14.0%</w:t>
            </w:r>
          </w:p>
        </w:tc>
        <w:tc>
          <w:tcPr>
            <w:tcW w:w="1440" w:type="dxa"/>
            <w:vAlign w:val="center"/>
          </w:tcPr>
          <w:p w:rsidR="001C1946" w:rsidRDefault="001C1946">
            <w:pPr>
              <w:pStyle w:val="Header"/>
              <w:tabs>
                <w:tab w:val="clear" w:pos="4320"/>
                <w:tab w:val="clear" w:pos="8640"/>
              </w:tabs>
              <w:jc w:val="center"/>
              <w:rPr>
                <w:sz w:val="22"/>
              </w:rPr>
            </w:pPr>
            <w:r>
              <w:rPr>
                <w:sz w:val="22"/>
              </w:rPr>
              <w:t>11.3%</w:t>
            </w:r>
          </w:p>
        </w:tc>
        <w:tc>
          <w:tcPr>
            <w:tcW w:w="1188" w:type="dxa"/>
            <w:vAlign w:val="center"/>
          </w:tcPr>
          <w:p w:rsidR="001C1946" w:rsidRDefault="001C1946">
            <w:pPr>
              <w:pStyle w:val="Header"/>
              <w:tabs>
                <w:tab w:val="clear" w:pos="4320"/>
                <w:tab w:val="clear" w:pos="8640"/>
              </w:tabs>
              <w:jc w:val="center"/>
              <w:rPr>
                <w:sz w:val="22"/>
              </w:rPr>
            </w:pPr>
            <w:r>
              <w:rPr>
                <w:sz w:val="22"/>
              </w:rPr>
              <w:t>24.9%</w:t>
            </w:r>
          </w:p>
        </w:tc>
        <w:tc>
          <w:tcPr>
            <w:tcW w:w="1332" w:type="dxa"/>
            <w:vAlign w:val="center"/>
          </w:tcPr>
          <w:p w:rsidR="001C1946" w:rsidRDefault="001C1946">
            <w:pPr>
              <w:pStyle w:val="Header"/>
              <w:tabs>
                <w:tab w:val="clear" w:pos="4320"/>
                <w:tab w:val="clear" w:pos="8640"/>
              </w:tabs>
              <w:jc w:val="center"/>
              <w:rPr>
                <w:sz w:val="22"/>
              </w:rPr>
            </w:pPr>
            <w:r>
              <w:rPr>
                <w:sz w:val="22"/>
              </w:rPr>
              <w:t>17.5%</w:t>
            </w:r>
          </w:p>
        </w:tc>
      </w:tr>
      <w:tr w:rsidR="001C1946">
        <w:tblPrEx>
          <w:tblCellMar>
            <w:top w:w="0" w:type="dxa"/>
            <w:bottom w:w="0" w:type="dxa"/>
          </w:tblCellMar>
        </w:tblPrEx>
        <w:tc>
          <w:tcPr>
            <w:tcW w:w="2808" w:type="dxa"/>
          </w:tcPr>
          <w:p w:rsidR="001C1946" w:rsidRDefault="001C1946">
            <w:pPr>
              <w:pStyle w:val="Header"/>
              <w:tabs>
                <w:tab w:val="clear" w:pos="4320"/>
                <w:tab w:val="clear" w:pos="8640"/>
              </w:tabs>
              <w:rPr>
                <w:sz w:val="22"/>
              </w:rPr>
            </w:pPr>
            <w:r>
              <w:rPr>
                <w:sz w:val="22"/>
              </w:rPr>
              <w:t>Passing Biology</w:t>
            </w:r>
          </w:p>
        </w:tc>
        <w:tc>
          <w:tcPr>
            <w:tcW w:w="1872" w:type="dxa"/>
            <w:vAlign w:val="center"/>
          </w:tcPr>
          <w:p w:rsidR="001C1946" w:rsidRDefault="001C1946">
            <w:pPr>
              <w:pStyle w:val="Header"/>
              <w:tabs>
                <w:tab w:val="clear" w:pos="4320"/>
                <w:tab w:val="clear" w:pos="8640"/>
              </w:tabs>
              <w:jc w:val="center"/>
              <w:rPr>
                <w:sz w:val="22"/>
              </w:rPr>
            </w:pPr>
            <w:r>
              <w:rPr>
                <w:sz w:val="22"/>
              </w:rPr>
              <w:t>57.8%</w:t>
            </w:r>
          </w:p>
        </w:tc>
        <w:tc>
          <w:tcPr>
            <w:tcW w:w="1440" w:type="dxa"/>
            <w:vAlign w:val="center"/>
          </w:tcPr>
          <w:p w:rsidR="001C1946" w:rsidRDefault="001C1946">
            <w:pPr>
              <w:pStyle w:val="Header"/>
              <w:tabs>
                <w:tab w:val="clear" w:pos="4320"/>
                <w:tab w:val="clear" w:pos="8640"/>
              </w:tabs>
              <w:jc w:val="center"/>
              <w:rPr>
                <w:sz w:val="22"/>
              </w:rPr>
            </w:pPr>
            <w:r>
              <w:rPr>
                <w:sz w:val="22"/>
              </w:rPr>
              <w:t>68.2%</w:t>
            </w:r>
          </w:p>
        </w:tc>
        <w:tc>
          <w:tcPr>
            <w:tcW w:w="1188" w:type="dxa"/>
            <w:vAlign w:val="center"/>
          </w:tcPr>
          <w:p w:rsidR="001C1946" w:rsidRDefault="001C1946">
            <w:pPr>
              <w:pStyle w:val="Header"/>
              <w:tabs>
                <w:tab w:val="clear" w:pos="4320"/>
                <w:tab w:val="clear" w:pos="8640"/>
              </w:tabs>
              <w:jc w:val="center"/>
              <w:rPr>
                <w:sz w:val="22"/>
              </w:rPr>
            </w:pPr>
            <w:r>
              <w:rPr>
                <w:sz w:val="22"/>
              </w:rPr>
              <w:t>63.8%</w:t>
            </w:r>
          </w:p>
        </w:tc>
        <w:tc>
          <w:tcPr>
            <w:tcW w:w="1332" w:type="dxa"/>
            <w:vAlign w:val="center"/>
          </w:tcPr>
          <w:p w:rsidR="001C1946" w:rsidRDefault="001C1946">
            <w:pPr>
              <w:pStyle w:val="Header"/>
              <w:tabs>
                <w:tab w:val="clear" w:pos="4320"/>
                <w:tab w:val="clear" w:pos="8640"/>
              </w:tabs>
              <w:jc w:val="center"/>
              <w:rPr>
                <w:sz w:val="22"/>
              </w:rPr>
            </w:pPr>
            <w:r>
              <w:rPr>
                <w:sz w:val="22"/>
              </w:rPr>
              <w:t>80.3%</w:t>
            </w:r>
          </w:p>
        </w:tc>
      </w:tr>
      <w:tr w:rsidR="001C1946">
        <w:tblPrEx>
          <w:tblCellMar>
            <w:top w:w="0" w:type="dxa"/>
            <w:bottom w:w="0" w:type="dxa"/>
          </w:tblCellMar>
        </w:tblPrEx>
        <w:tc>
          <w:tcPr>
            <w:tcW w:w="2808" w:type="dxa"/>
          </w:tcPr>
          <w:p w:rsidR="001C1946" w:rsidRDefault="001C1946">
            <w:pPr>
              <w:pStyle w:val="Header"/>
              <w:tabs>
                <w:tab w:val="clear" w:pos="4320"/>
                <w:tab w:val="clear" w:pos="8640"/>
              </w:tabs>
              <w:rPr>
                <w:sz w:val="22"/>
              </w:rPr>
            </w:pPr>
            <w:r>
              <w:rPr>
                <w:sz w:val="22"/>
              </w:rPr>
              <w:t>Passing Algebra</w:t>
            </w:r>
          </w:p>
        </w:tc>
        <w:tc>
          <w:tcPr>
            <w:tcW w:w="1872" w:type="dxa"/>
            <w:vAlign w:val="center"/>
          </w:tcPr>
          <w:p w:rsidR="001C1946" w:rsidRDefault="001C1946">
            <w:pPr>
              <w:pStyle w:val="Header"/>
              <w:tabs>
                <w:tab w:val="clear" w:pos="4320"/>
                <w:tab w:val="clear" w:pos="8640"/>
              </w:tabs>
              <w:jc w:val="center"/>
              <w:rPr>
                <w:sz w:val="22"/>
              </w:rPr>
            </w:pPr>
            <w:r>
              <w:rPr>
                <w:sz w:val="22"/>
              </w:rPr>
              <w:t>20.1%</w:t>
            </w:r>
          </w:p>
        </w:tc>
        <w:tc>
          <w:tcPr>
            <w:tcW w:w="1440" w:type="dxa"/>
            <w:vAlign w:val="center"/>
          </w:tcPr>
          <w:p w:rsidR="001C1946" w:rsidRDefault="001C1946">
            <w:pPr>
              <w:pStyle w:val="Header"/>
              <w:tabs>
                <w:tab w:val="clear" w:pos="4320"/>
                <w:tab w:val="clear" w:pos="8640"/>
              </w:tabs>
              <w:jc w:val="center"/>
              <w:rPr>
                <w:sz w:val="22"/>
              </w:rPr>
            </w:pPr>
            <w:r>
              <w:rPr>
                <w:sz w:val="22"/>
              </w:rPr>
              <w:t>31.3%</w:t>
            </w:r>
          </w:p>
        </w:tc>
        <w:tc>
          <w:tcPr>
            <w:tcW w:w="1188" w:type="dxa"/>
            <w:vAlign w:val="center"/>
          </w:tcPr>
          <w:p w:rsidR="001C1946" w:rsidRDefault="001C1946">
            <w:pPr>
              <w:pStyle w:val="Header"/>
              <w:tabs>
                <w:tab w:val="clear" w:pos="4320"/>
                <w:tab w:val="clear" w:pos="8640"/>
              </w:tabs>
              <w:jc w:val="center"/>
              <w:rPr>
                <w:sz w:val="22"/>
              </w:rPr>
            </w:pPr>
            <w:r>
              <w:rPr>
                <w:sz w:val="22"/>
              </w:rPr>
              <w:t>28.2%</w:t>
            </w:r>
          </w:p>
        </w:tc>
        <w:tc>
          <w:tcPr>
            <w:tcW w:w="1332" w:type="dxa"/>
            <w:vAlign w:val="center"/>
          </w:tcPr>
          <w:p w:rsidR="001C1946" w:rsidRDefault="001C1946">
            <w:pPr>
              <w:pStyle w:val="Header"/>
              <w:tabs>
                <w:tab w:val="clear" w:pos="4320"/>
                <w:tab w:val="clear" w:pos="8640"/>
              </w:tabs>
              <w:jc w:val="center"/>
              <w:rPr>
                <w:sz w:val="22"/>
              </w:rPr>
            </w:pPr>
            <w:r>
              <w:rPr>
                <w:sz w:val="22"/>
              </w:rPr>
              <w:t>43.9%</w:t>
            </w:r>
          </w:p>
        </w:tc>
      </w:tr>
      <w:tr w:rsidR="001C1946">
        <w:tblPrEx>
          <w:tblCellMar>
            <w:top w:w="0" w:type="dxa"/>
            <w:bottom w:w="0" w:type="dxa"/>
          </w:tblCellMar>
        </w:tblPrEx>
        <w:tc>
          <w:tcPr>
            <w:tcW w:w="2808" w:type="dxa"/>
          </w:tcPr>
          <w:p w:rsidR="001C1946" w:rsidRDefault="001C1946">
            <w:pPr>
              <w:pStyle w:val="Header"/>
              <w:tabs>
                <w:tab w:val="clear" w:pos="4320"/>
                <w:tab w:val="clear" w:pos="8640"/>
              </w:tabs>
              <w:rPr>
                <w:sz w:val="22"/>
              </w:rPr>
            </w:pPr>
            <w:r>
              <w:rPr>
                <w:sz w:val="22"/>
              </w:rPr>
              <w:t>Passing English II</w:t>
            </w:r>
          </w:p>
        </w:tc>
        <w:tc>
          <w:tcPr>
            <w:tcW w:w="1872" w:type="dxa"/>
            <w:vAlign w:val="center"/>
          </w:tcPr>
          <w:p w:rsidR="001C1946" w:rsidRDefault="001C1946">
            <w:pPr>
              <w:pStyle w:val="Header"/>
              <w:tabs>
                <w:tab w:val="clear" w:pos="4320"/>
                <w:tab w:val="clear" w:pos="8640"/>
              </w:tabs>
              <w:jc w:val="center"/>
              <w:rPr>
                <w:sz w:val="22"/>
              </w:rPr>
            </w:pPr>
            <w:r>
              <w:rPr>
                <w:sz w:val="22"/>
              </w:rPr>
              <w:t>55.5%</w:t>
            </w:r>
          </w:p>
        </w:tc>
        <w:tc>
          <w:tcPr>
            <w:tcW w:w="1440" w:type="dxa"/>
            <w:vAlign w:val="center"/>
          </w:tcPr>
          <w:p w:rsidR="001C1946" w:rsidRDefault="001C1946">
            <w:pPr>
              <w:pStyle w:val="Header"/>
              <w:tabs>
                <w:tab w:val="clear" w:pos="4320"/>
                <w:tab w:val="clear" w:pos="8640"/>
              </w:tabs>
              <w:jc w:val="center"/>
              <w:rPr>
                <w:sz w:val="22"/>
              </w:rPr>
            </w:pPr>
            <w:r>
              <w:rPr>
                <w:sz w:val="22"/>
              </w:rPr>
              <w:t>68.6%</w:t>
            </w:r>
          </w:p>
        </w:tc>
        <w:tc>
          <w:tcPr>
            <w:tcW w:w="1188" w:type="dxa"/>
            <w:vAlign w:val="center"/>
          </w:tcPr>
          <w:p w:rsidR="001C1946" w:rsidRDefault="001C1946">
            <w:pPr>
              <w:pStyle w:val="Header"/>
              <w:tabs>
                <w:tab w:val="clear" w:pos="4320"/>
                <w:tab w:val="clear" w:pos="8640"/>
              </w:tabs>
              <w:jc w:val="center"/>
              <w:rPr>
                <w:sz w:val="22"/>
              </w:rPr>
            </w:pPr>
            <w:r>
              <w:rPr>
                <w:sz w:val="22"/>
              </w:rPr>
              <w:t>59.6%</w:t>
            </w:r>
          </w:p>
        </w:tc>
        <w:tc>
          <w:tcPr>
            <w:tcW w:w="1332" w:type="dxa"/>
            <w:vAlign w:val="center"/>
          </w:tcPr>
          <w:p w:rsidR="001C1946" w:rsidRDefault="001C1946">
            <w:pPr>
              <w:pStyle w:val="Header"/>
              <w:tabs>
                <w:tab w:val="clear" w:pos="4320"/>
                <w:tab w:val="clear" w:pos="8640"/>
              </w:tabs>
              <w:jc w:val="center"/>
              <w:rPr>
                <w:sz w:val="22"/>
              </w:rPr>
            </w:pPr>
            <w:r>
              <w:rPr>
                <w:sz w:val="22"/>
              </w:rPr>
              <w:t>77.7%</w:t>
            </w:r>
          </w:p>
        </w:tc>
      </w:tr>
      <w:tr w:rsidR="001C1946">
        <w:tblPrEx>
          <w:tblCellMar>
            <w:top w:w="0" w:type="dxa"/>
            <w:bottom w:w="0" w:type="dxa"/>
          </w:tblCellMar>
        </w:tblPrEx>
        <w:tc>
          <w:tcPr>
            <w:tcW w:w="2808" w:type="dxa"/>
          </w:tcPr>
          <w:p w:rsidR="001C1946" w:rsidRDefault="001C1946">
            <w:pPr>
              <w:pStyle w:val="Header"/>
              <w:tabs>
                <w:tab w:val="clear" w:pos="4320"/>
                <w:tab w:val="clear" w:pos="8640"/>
              </w:tabs>
              <w:rPr>
                <w:sz w:val="22"/>
              </w:rPr>
            </w:pPr>
            <w:r>
              <w:rPr>
                <w:sz w:val="22"/>
              </w:rPr>
              <w:t xml:space="preserve">Passing </w:t>
            </w:r>
            <w:smartTag w:uri="urn:schemas-microsoft-com:office:smarttags" w:element="country-region">
              <w:smartTag w:uri="urn:schemas-microsoft-com:office:smarttags" w:element="place">
                <w:r>
                  <w:rPr>
                    <w:sz w:val="22"/>
                  </w:rPr>
                  <w:t>U.S.</w:t>
                </w:r>
              </w:smartTag>
            </w:smartTag>
            <w:r>
              <w:rPr>
                <w:sz w:val="22"/>
              </w:rPr>
              <w:t xml:space="preserve"> History</w:t>
            </w:r>
          </w:p>
        </w:tc>
        <w:tc>
          <w:tcPr>
            <w:tcW w:w="1872" w:type="dxa"/>
            <w:vAlign w:val="center"/>
          </w:tcPr>
          <w:p w:rsidR="001C1946" w:rsidRDefault="001C1946">
            <w:pPr>
              <w:pStyle w:val="Header"/>
              <w:tabs>
                <w:tab w:val="clear" w:pos="4320"/>
                <w:tab w:val="clear" w:pos="8640"/>
              </w:tabs>
              <w:jc w:val="center"/>
              <w:rPr>
                <w:sz w:val="22"/>
              </w:rPr>
            </w:pPr>
            <w:r>
              <w:rPr>
                <w:sz w:val="22"/>
              </w:rPr>
              <w:t>43.3%</w:t>
            </w:r>
          </w:p>
        </w:tc>
        <w:tc>
          <w:tcPr>
            <w:tcW w:w="1440" w:type="dxa"/>
            <w:vAlign w:val="center"/>
          </w:tcPr>
          <w:p w:rsidR="001C1946" w:rsidRDefault="001C1946">
            <w:pPr>
              <w:pStyle w:val="Header"/>
              <w:tabs>
                <w:tab w:val="clear" w:pos="4320"/>
                <w:tab w:val="clear" w:pos="8640"/>
              </w:tabs>
              <w:jc w:val="center"/>
              <w:rPr>
                <w:sz w:val="22"/>
              </w:rPr>
            </w:pPr>
            <w:r>
              <w:rPr>
                <w:sz w:val="22"/>
              </w:rPr>
              <w:t>54.9%</w:t>
            </w:r>
          </w:p>
        </w:tc>
        <w:tc>
          <w:tcPr>
            <w:tcW w:w="1188" w:type="dxa"/>
            <w:vAlign w:val="center"/>
          </w:tcPr>
          <w:p w:rsidR="001C1946" w:rsidRDefault="001C1946">
            <w:pPr>
              <w:pStyle w:val="Header"/>
              <w:tabs>
                <w:tab w:val="clear" w:pos="4320"/>
                <w:tab w:val="clear" w:pos="8640"/>
              </w:tabs>
              <w:jc w:val="center"/>
              <w:rPr>
                <w:sz w:val="22"/>
              </w:rPr>
            </w:pPr>
            <w:r>
              <w:rPr>
                <w:sz w:val="22"/>
              </w:rPr>
              <w:t>61.0%</w:t>
            </w:r>
          </w:p>
        </w:tc>
        <w:tc>
          <w:tcPr>
            <w:tcW w:w="1332" w:type="dxa"/>
            <w:vAlign w:val="center"/>
          </w:tcPr>
          <w:p w:rsidR="001C1946" w:rsidRDefault="001C1946">
            <w:pPr>
              <w:pStyle w:val="Header"/>
              <w:tabs>
                <w:tab w:val="clear" w:pos="4320"/>
                <w:tab w:val="clear" w:pos="8640"/>
              </w:tabs>
              <w:jc w:val="center"/>
              <w:rPr>
                <w:sz w:val="22"/>
              </w:rPr>
            </w:pPr>
            <w:r>
              <w:rPr>
                <w:sz w:val="22"/>
              </w:rPr>
              <w:t>72.1%</w:t>
            </w:r>
          </w:p>
        </w:tc>
      </w:tr>
    </w:tbl>
    <w:p w:rsidR="001C1946" w:rsidRDefault="001C1946">
      <w:pPr>
        <w:pStyle w:val="Header"/>
        <w:tabs>
          <w:tab w:val="clear" w:pos="4320"/>
          <w:tab w:val="clear" w:pos="8640"/>
        </w:tabs>
        <w:rPr>
          <w:i/>
          <w:sz w:val="18"/>
        </w:rPr>
      </w:pPr>
      <w:proofErr w:type="gramStart"/>
      <w:r>
        <w:rPr>
          <w:i/>
          <w:sz w:val="18"/>
        </w:rPr>
        <w:t>Source.</w:t>
      </w:r>
      <w:proofErr w:type="gramEnd"/>
      <w:r>
        <w:rPr>
          <w:i/>
          <w:sz w:val="18"/>
        </w:rPr>
        <w:t xml:space="preserve"> </w:t>
      </w:r>
      <w:r>
        <w:rPr>
          <w:iCs/>
          <w:sz w:val="18"/>
        </w:rPr>
        <w:t>TEA 2000-01 AEIS Reports</w:t>
      </w:r>
    </w:p>
    <w:p w:rsidR="001C1946" w:rsidRDefault="001C1946">
      <w:pPr>
        <w:pStyle w:val="Header"/>
        <w:tabs>
          <w:tab w:val="clear" w:pos="4320"/>
          <w:tab w:val="clear" w:pos="8640"/>
        </w:tabs>
        <w:rPr>
          <w:szCs w:val="24"/>
        </w:rPr>
      </w:pPr>
    </w:p>
    <w:p w:rsidR="001C1946" w:rsidRDefault="001C1946">
      <w:pPr>
        <w:rPr>
          <w:sz w:val="24"/>
        </w:rPr>
      </w:pPr>
      <w:r>
        <w:rPr>
          <w:sz w:val="24"/>
          <w:u w:val="single"/>
        </w:rPr>
        <w:t>Charter schools have lower attendance rates and higher dropout rates</w:t>
      </w:r>
      <w:r>
        <w:rPr>
          <w:sz w:val="24"/>
        </w:rPr>
        <w:t>. As shown in Table 6, charter schools have lower attendance rates and higher dropout rates than analogous state comparison groups.</w:t>
      </w:r>
    </w:p>
    <w:p w:rsidR="001C1946" w:rsidRDefault="001C1946">
      <w:pPr>
        <w:rPr>
          <w:sz w:val="24"/>
        </w:rPr>
      </w:pPr>
    </w:p>
    <w:p w:rsidR="001C1946" w:rsidRDefault="001C1946">
      <w:pPr>
        <w:pStyle w:val="Header"/>
        <w:tabs>
          <w:tab w:val="clear" w:pos="4320"/>
          <w:tab w:val="clear" w:pos="8640"/>
        </w:tabs>
        <w:spacing w:after="60"/>
        <w:rPr>
          <w:b/>
          <w:sz w:val="22"/>
        </w:rPr>
      </w:pPr>
      <w:proofErr w:type="gramStart"/>
      <w:r>
        <w:rPr>
          <w:b/>
          <w:sz w:val="22"/>
        </w:rPr>
        <w:t>Table 6.</w:t>
      </w:r>
      <w:proofErr w:type="gramEnd"/>
      <w:r>
        <w:rPr>
          <w:b/>
          <w:sz w:val="22"/>
        </w:rPr>
        <w:t xml:space="preserve"> Student Attendance and Dropout for 1999</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448"/>
        <w:gridCol w:w="1872"/>
        <w:gridCol w:w="1440"/>
        <w:gridCol w:w="1368"/>
        <w:gridCol w:w="1512"/>
      </w:tblGrid>
      <w:tr w:rsidR="001C1946">
        <w:tblPrEx>
          <w:tblCellMar>
            <w:top w:w="0" w:type="dxa"/>
            <w:bottom w:w="0" w:type="dxa"/>
          </w:tblCellMar>
        </w:tblPrEx>
        <w:tc>
          <w:tcPr>
            <w:tcW w:w="2448" w:type="dxa"/>
            <w:shd w:val="clear" w:color="auto" w:fill="E0E0E0"/>
            <w:vAlign w:val="bottom"/>
          </w:tcPr>
          <w:p w:rsidR="001C1946" w:rsidRDefault="001C1946">
            <w:pPr>
              <w:pStyle w:val="Header"/>
              <w:tabs>
                <w:tab w:val="clear" w:pos="4320"/>
                <w:tab w:val="clear" w:pos="8640"/>
              </w:tabs>
              <w:rPr>
                <w:b/>
                <w:sz w:val="22"/>
              </w:rPr>
            </w:pPr>
            <w:r>
              <w:rPr>
                <w:b/>
                <w:sz w:val="22"/>
              </w:rPr>
              <w:lastRenderedPageBreak/>
              <w:t>Outcome Measure</w:t>
            </w:r>
          </w:p>
        </w:tc>
        <w:tc>
          <w:tcPr>
            <w:tcW w:w="1872" w:type="dxa"/>
            <w:shd w:val="clear" w:color="auto" w:fill="E0E0E0"/>
            <w:vAlign w:val="bottom"/>
          </w:tcPr>
          <w:p w:rsidR="001C1946" w:rsidRDefault="001C1946">
            <w:pPr>
              <w:pStyle w:val="Header"/>
              <w:tabs>
                <w:tab w:val="clear" w:pos="4320"/>
                <w:tab w:val="clear" w:pos="8640"/>
              </w:tabs>
              <w:jc w:val="center"/>
              <w:rPr>
                <w:b/>
                <w:sz w:val="22"/>
              </w:rPr>
            </w:pPr>
            <w:r>
              <w:rPr>
                <w:b/>
                <w:sz w:val="22"/>
              </w:rPr>
              <w:t>75% Rule and Open-</w:t>
            </w:r>
            <w:proofErr w:type="spellStart"/>
            <w:r>
              <w:rPr>
                <w:b/>
                <w:sz w:val="22"/>
              </w:rPr>
              <w:t>Enr</w:t>
            </w:r>
            <w:proofErr w:type="spellEnd"/>
            <w:r>
              <w:rPr>
                <w:b/>
                <w:sz w:val="22"/>
              </w:rPr>
              <w:t xml:space="preserve"> ≥ 75%</w:t>
            </w:r>
          </w:p>
        </w:tc>
        <w:tc>
          <w:tcPr>
            <w:tcW w:w="1440" w:type="dxa"/>
            <w:shd w:val="clear" w:color="auto" w:fill="E0E0E0"/>
            <w:vAlign w:val="bottom"/>
          </w:tcPr>
          <w:p w:rsidR="001C1946" w:rsidRDefault="001C1946">
            <w:pPr>
              <w:pStyle w:val="Header"/>
              <w:tabs>
                <w:tab w:val="clear" w:pos="4320"/>
                <w:tab w:val="clear" w:pos="8640"/>
              </w:tabs>
              <w:jc w:val="center"/>
              <w:rPr>
                <w:b/>
                <w:sz w:val="22"/>
              </w:rPr>
            </w:pPr>
            <w:r>
              <w:rPr>
                <w:b/>
                <w:sz w:val="22"/>
              </w:rPr>
              <w:t>State Eco-</w:t>
            </w:r>
            <w:proofErr w:type="spellStart"/>
            <w:r>
              <w:rPr>
                <w:b/>
                <w:sz w:val="22"/>
              </w:rPr>
              <w:t>Dis</w:t>
            </w:r>
            <w:proofErr w:type="spellEnd"/>
            <w:r>
              <w:rPr>
                <w:b/>
                <w:sz w:val="22"/>
              </w:rPr>
              <w:t xml:space="preserve"> Students</w:t>
            </w:r>
          </w:p>
        </w:tc>
        <w:tc>
          <w:tcPr>
            <w:tcW w:w="1368" w:type="dxa"/>
            <w:shd w:val="clear" w:color="auto" w:fill="E0E0E0"/>
            <w:vAlign w:val="bottom"/>
          </w:tcPr>
          <w:p w:rsidR="001C1946" w:rsidRDefault="001C1946">
            <w:pPr>
              <w:pStyle w:val="Header"/>
              <w:tabs>
                <w:tab w:val="clear" w:pos="4320"/>
                <w:tab w:val="clear" w:pos="8640"/>
              </w:tabs>
              <w:jc w:val="center"/>
              <w:rPr>
                <w:b/>
                <w:sz w:val="22"/>
              </w:rPr>
            </w:pPr>
            <w:r>
              <w:rPr>
                <w:b/>
                <w:sz w:val="22"/>
              </w:rPr>
              <w:t>Open-</w:t>
            </w:r>
            <w:proofErr w:type="spellStart"/>
            <w:r>
              <w:rPr>
                <w:b/>
                <w:sz w:val="22"/>
              </w:rPr>
              <w:t>Enr</w:t>
            </w:r>
            <w:proofErr w:type="spellEnd"/>
            <w:r>
              <w:rPr>
                <w:b/>
                <w:sz w:val="22"/>
              </w:rPr>
              <w:t xml:space="preserve"> </w:t>
            </w:r>
          </w:p>
          <w:p w:rsidR="001C1946" w:rsidRDefault="001C1946">
            <w:pPr>
              <w:pStyle w:val="Header"/>
              <w:tabs>
                <w:tab w:val="clear" w:pos="4320"/>
                <w:tab w:val="clear" w:pos="8640"/>
              </w:tabs>
              <w:jc w:val="center"/>
              <w:rPr>
                <w:b/>
                <w:sz w:val="22"/>
              </w:rPr>
            </w:pPr>
            <w:r>
              <w:rPr>
                <w:b/>
                <w:sz w:val="22"/>
              </w:rPr>
              <w:t>&lt; 75%</w:t>
            </w:r>
          </w:p>
        </w:tc>
        <w:tc>
          <w:tcPr>
            <w:tcW w:w="1512" w:type="dxa"/>
            <w:shd w:val="clear" w:color="auto" w:fill="E0E0E0"/>
            <w:vAlign w:val="bottom"/>
          </w:tcPr>
          <w:p w:rsidR="001C1946" w:rsidRDefault="001C1946">
            <w:pPr>
              <w:pStyle w:val="Header"/>
              <w:tabs>
                <w:tab w:val="clear" w:pos="4320"/>
                <w:tab w:val="clear" w:pos="8640"/>
              </w:tabs>
              <w:jc w:val="center"/>
              <w:rPr>
                <w:b/>
                <w:sz w:val="22"/>
              </w:rPr>
            </w:pPr>
            <w:r>
              <w:rPr>
                <w:b/>
                <w:sz w:val="22"/>
              </w:rPr>
              <w:t>State All Students</w:t>
            </w:r>
          </w:p>
        </w:tc>
      </w:tr>
      <w:tr w:rsidR="001C1946">
        <w:tblPrEx>
          <w:tblCellMar>
            <w:top w:w="0" w:type="dxa"/>
            <w:bottom w:w="0" w:type="dxa"/>
          </w:tblCellMar>
        </w:tblPrEx>
        <w:tc>
          <w:tcPr>
            <w:tcW w:w="2448" w:type="dxa"/>
          </w:tcPr>
          <w:p w:rsidR="001C1946" w:rsidRDefault="001C1946">
            <w:pPr>
              <w:pStyle w:val="Header"/>
              <w:tabs>
                <w:tab w:val="clear" w:pos="4320"/>
                <w:tab w:val="clear" w:pos="8640"/>
              </w:tabs>
              <w:rPr>
                <w:sz w:val="22"/>
              </w:rPr>
            </w:pPr>
            <w:r>
              <w:rPr>
                <w:sz w:val="22"/>
              </w:rPr>
              <w:t xml:space="preserve">Attendance </w:t>
            </w:r>
          </w:p>
        </w:tc>
        <w:tc>
          <w:tcPr>
            <w:tcW w:w="1872" w:type="dxa"/>
            <w:vAlign w:val="center"/>
          </w:tcPr>
          <w:p w:rsidR="001C1946" w:rsidRDefault="001C1946">
            <w:pPr>
              <w:pStyle w:val="Header"/>
              <w:tabs>
                <w:tab w:val="clear" w:pos="4320"/>
                <w:tab w:val="clear" w:pos="8640"/>
              </w:tabs>
              <w:ind w:right="432"/>
              <w:jc w:val="right"/>
              <w:rPr>
                <w:sz w:val="22"/>
              </w:rPr>
            </w:pPr>
            <w:r>
              <w:rPr>
                <w:sz w:val="22"/>
              </w:rPr>
              <w:t>90.1%</w:t>
            </w:r>
          </w:p>
        </w:tc>
        <w:tc>
          <w:tcPr>
            <w:tcW w:w="1440" w:type="dxa"/>
            <w:vAlign w:val="center"/>
          </w:tcPr>
          <w:p w:rsidR="001C1946" w:rsidRDefault="001C1946">
            <w:pPr>
              <w:pStyle w:val="Header"/>
              <w:tabs>
                <w:tab w:val="clear" w:pos="4320"/>
                <w:tab w:val="clear" w:pos="8640"/>
              </w:tabs>
              <w:ind w:right="432"/>
              <w:jc w:val="right"/>
              <w:rPr>
                <w:sz w:val="22"/>
              </w:rPr>
            </w:pPr>
            <w:r>
              <w:rPr>
                <w:sz w:val="22"/>
              </w:rPr>
              <w:t>95.1%</w:t>
            </w:r>
          </w:p>
        </w:tc>
        <w:tc>
          <w:tcPr>
            <w:tcW w:w="1368" w:type="dxa"/>
            <w:vAlign w:val="center"/>
          </w:tcPr>
          <w:p w:rsidR="001C1946" w:rsidRDefault="001C1946">
            <w:pPr>
              <w:pStyle w:val="Header"/>
              <w:tabs>
                <w:tab w:val="clear" w:pos="4320"/>
                <w:tab w:val="clear" w:pos="8640"/>
              </w:tabs>
              <w:ind w:right="432"/>
              <w:jc w:val="right"/>
              <w:rPr>
                <w:sz w:val="22"/>
              </w:rPr>
            </w:pPr>
            <w:r>
              <w:rPr>
                <w:sz w:val="22"/>
              </w:rPr>
              <w:t>90.9%</w:t>
            </w:r>
          </w:p>
        </w:tc>
        <w:tc>
          <w:tcPr>
            <w:tcW w:w="1512" w:type="dxa"/>
            <w:vAlign w:val="center"/>
          </w:tcPr>
          <w:p w:rsidR="001C1946" w:rsidRDefault="001C1946">
            <w:pPr>
              <w:pStyle w:val="Header"/>
              <w:tabs>
                <w:tab w:val="clear" w:pos="4320"/>
                <w:tab w:val="clear" w:pos="8640"/>
              </w:tabs>
              <w:ind w:right="432"/>
              <w:jc w:val="right"/>
              <w:rPr>
                <w:sz w:val="22"/>
              </w:rPr>
            </w:pPr>
            <w:r>
              <w:rPr>
                <w:sz w:val="22"/>
              </w:rPr>
              <w:t>95.4%</w:t>
            </w:r>
          </w:p>
        </w:tc>
      </w:tr>
      <w:tr w:rsidR="001C1946">
        <w:tblPrEx>
          <w:tblCellMar>
            <w:top w:w="0" w:type="dxa"/>
            <w:bottom w:w="0" w:type="dxa"/>
          </w:tblCellMar>
        </w:tblPrEx>
        <w:tc>
          <w:tcPr>
            <w:tcW w:w="2448" w:type="dxa"/>
          </w:tcPr>
          <w:p w:rsidR="001C1946" w:rsidRDefault="001C1946">
            <w:pPr>
              <w:pStyle w:val="Header"/>
              <w:tabs>
                <w:tab w:val="clear" w:pos="4320"/>
                <w:tab w:val="clear" w:pos="8640"/>
              </w:tabs>
              <w:rPr>
                <w:sz w:val="22"/>
              </w:rPr>
            </w:pPr>
            <w:r>
              <w:rPr>
                <w:sz w:val="22"/>
              </w:rPr>
              <w:t xml:space="preserve">Annual dropout rate </w:t>
            </w:r>
          </w:p>
        </w:tc>
        <w:tc>
          <w:tcPr>
            <w:tcW w:w="1872" w:type="dxa"/>
            <w:vAlign w:val="center"/>
          </w:tcPr>
          <w:p w:rsidR="001C1946" w:rsidRDefault="001C1946">
            <w:pPr>
              <w:pStyle w:val="Header"/>
              <w:tabs>
                <w:tab w:val="clear" w:pos="4320"/>
                <w:tab w:val="clear" w:pos="8640"/>
              </w:tabs>
              <w:ind w:right="432"/>
              <w:jc w:val="right"/>
              <w:rPr>
                <w:sz w:val="22"/>
              </w:rPr>
            </w:pPr>
            <w:r>
              <w:rPr>
                <w:sz w:val="22"/>
              </w:rPr>
              <w:t>5.7%</w:t>
            </w:r>
          </w:p>
        </w:tc>
        <w:tc>
          <w:tcPr>
            <w:tcW w:w="1440" w:type="dxa"/>
            <w:vAlign w:val="center"/>
          </w:tcPr>
          <w:p w:rsidR="001C1946" w:rsidRDefault="001C1946">
            <w:pPr>
              <w:pStyle w:val="Header"/>
              <w:tabs>
                <w:tab w:val="clear" w:pos="4320"/>
                <w:tab w:val="clear" w:pos="8640"/>
              </w:tabs>
              <w:ind w:right="432"/>
              <w:jc w:val="right"/>
              <w:rPr>
                <w:sz w:val="22"/>
              </w:rPr>
            </w:pPr>
            <w:r>
              <w:rPr>
                <w:sz w:val="22"/>
              </w:rPr>
              <w:t>1.5%</w:t>
            </w:r>
          </w:p>
        </w:tc>
        <w:tc>
          <w:tcPr>
            <w:tcW w:w="1368" w:type="dxa"/>
            <w:vAlign w:val="center"/>
          </w:tcPr>
          <w:p w:rsidR="001C1946" w:rsidRDefault="001C1946">
            <w:pPr>
              <w:pStyle w:val="Header"/>
              <w:tabs>
                <w:tab w:val="clear" w:pos="4320"/>
                <w:tab w:val="clear" w:pos="8640"/>
              </w:tabs>
              <w:ind w:right="432"/>
              <w:jc w:val="right"/>
              <w:rPr>
                <w:sz w:val="22"/>
              </w:rPr>
            </w:pPr>
            <w:r>
              <w:rPr>
                <w:sz w:val="22"/>
              </w:rPr>
              <w:t>5.3%</w:t>
            </w:r>
          </w:p>
        </w:tc>
        <w:tc>
          <w:tcPr>
            <w:tcW w:w="1512" w:type="dxa"/>
            <w:vAlign w:val="center"/>
          </w:tcPr>
          <w:p w:rsidR="001C1946" w:rsidRDefault="001C1946">
            <w:pPr>
              <w:pStyle w:val="Header"/>
              <w:tabs>
                <w:tab w:val="clear" w:pos="4320"/>
                <w:tab w:val="clear" w:pos="8640"/>
              </w:tabs>
              <w:ind w:right="432"/>
              <w:jc w:val="right"/>
              <w:rPr>
                <w:sz w:val="22"/>
              </w:rPr>
            </w:pPr>
            <w:r>
              <w:rPr>
                <w:sz w:val="22"/>
              </w:rPr>
              <w:t>1.6%</w:t>
            </w:r>
          </w:p>
        </w:tc>
      </w:tr>
    </w:tbl>
    <w:p w:rsidR="001C1946" w:rsidRDefault="001C1946">
      <w:pPr>
        <w:pStyle w:val="Header"/>
        <w:tabs>
          <w:tab w:val="clear" w:pos="4320"/>
          <w:tab w:val="clear" w:pos="8640"/>
        </w:tabs>
        <w:rPr>
          <w:i/>
          <w:sz w:val="18"/>
        </w:rPr>
      </w:pPr>
      <w:proofErr w:type="gramStart"/>
      <w:r>
        <w:rPr>
          <w:i/>
          <w:sz w:val="18"/>
        </w:rPr>
        <w:t>Source.</w:t>
      </w:r>
      <w:proofErr w:type="gramEnd"/>
      <w:r>
        <w:rPr>
          <w:i/>
          <w:sz w:val="18"/>
        </w:rPr>
        <w:t xml:space="preserve"> </w:t>
      </w:r>
      <w:r>
        <w:rPr>
          <w:iCs/>
          <w:sz w:val="18"/>
        </w:rPr>
        <w:t>TEA 2000-01 AEIS Reports</w:t>
      </w:r>
    </w:p>
    <w:p w:rsidR="001C1946" w:rsidRDefault="001C1946">
      <w:pPr>
        <w:pStyle w:val="Header"/>
        <w:tabs>
          <w:tab w:val="clear" w:pos="4320"/>
          <w:tab w:val="clear" w:pos="8640"/>
        </w:tabs>
        <w:rPr>
          <w:szCs w:val="24"/>
        </w:rPr>
      </w:pPr>
    </w:p>
    <w:p w:rsidR="001C1946" w:rsidRDefault="001C1946">
      <w:pPr>
        <w:pStyle w:val="Heading2"/>
        <w:rPr>
          <w:i/>
          <w:iCs/>
        </w:rPr>
      </w:pPr>
      <w:r>
        <w:rPr>
          <w:i/>
          <w:iCs/>
        </w:rPr>
        <w:t xml:space="preserve">Student-Level Performance </w:t>
      </w:r>
      <w:proofErr w:type="gramStart"/>
      <w:r>
        <w:rPr>
          <w:i/>
          <w:iCs/>
        </w:rPr>
        <w:t>Over</w:t>
      </w:r>
      <w:proofErr w:type="gramEnd"/>
      <w:r>
        <w:rPr>
          <w:i/>
          <w:iCs/>
        </w:rPr>
        <w:t xml:space="preserve"> Time</w:t>
      </w:r>
    </w:p>
    <w:p w:rsidR="001C1946" w:rsidRDefault="001C1946">
      <w:pPr>
        <w:rPr>
          <w:b/>
          <w:bCs/>
        </w:rPr>
      </w:pPr>
    </w:p>
    <w:p w:rsidR="001C1946" w:rsidRDefault="001C1946">
      <w:pPr>
        <w:rPr>
          <w:sz w:val="24"/>
        </w:rPr>
      </w:pPr>
      <w:r>
        <w:rPr>
          <w:sz w:val="24"/>
        </w:rPr>
        <w:t>The student-level analysis compared the academic performance of students who were continuously enrolled in charter schools with student cohorts who moved between the traditional public school system and charter schools. TAAS reading and mathematics passing rates are based on Texas Learning Index (TLI) scores.</w:t>
      </w:r>
    </w:p>
    <w:p w:rsidR="001C1946" w:rsidRDefault="001C1946">
      <w:pPr>
        <w:rPr>
          <w:sz w:val="24"/>
        </w:rPr>
      </w:pPr>
    </w:p>
    <w:p w:rsidR="001C1946" w:rsidRDefault="001C1946">
      <w:pPr>
        <w:pStyle w:val="Heading3"/>
        <w:rPr>
          <w:u w:val="none"/>
        </w:rPr>
      </w:pPr>
      <w:r>
        <w:rPr>
          <w:u w:val="none"/>
        </w:rPr>
        <w:t>A number of analysis issues limit the interpretation of results. Foremost, new charter schools open each year, so the numbers of students enrolled in charter schools has increased dramatically across years. Other analyses issues include (a) the accurate identification of students, (b) student survivorship over time, (c) small numbers of cases in comparison groups, (d) unexplained student reasons for returning to traditional schools, and (e) the limited number of students with TAAS scores. Tables 8 and 9 summarize results.</w:t>
      </w:r>
    </w:p>
    <w:p w:rsidR="001C1946" w:rsidRDefault="001C1946">
      <w:pPr>
        <w:rPr>
          <w:u w:val="single"/>
        </w:rPr>
      </w:pPr>
    </w:p>
    <w:p w:rsidR="001C1946" w:rsidRDefault="001C1946">
      <w:pPr>
        <w:pStyle w:val="Header"/>
        <w:tabs>
          <w:tab w:val="clear" w:pos="4320"/>
          <w:tab w:val="clear" w:pos="8640"/>
        </w:tabs>
        <w:spacing w:after="60"/>
        <w:rPr>
          <w:b/>
          <w:sz w:val="22"/>
        </w:rPr>
      </w:pPr>
      <w:r>
        <w:rPr>
          <w:b/>
          <w:sz w:val="22"/>
        </w:rPr>
        <w:br w:type="page"/>
      </w:r>
      <w:proofErr w:type="gramStart"/>
      <w:r>
        <w:rPr>
          <w:b/>
          <w:sz w:val="22"/>
        </w:rPr>
        <w:lastRenderedPageBreak/>
        <w:t>Table 8.</w:t>
      </w:r>
      <w:proofErr w:type="gramEnd"/>
      <w:r>
        <w:rPr>
          <w:b/>
          <w:sz w:val="22"/>
        </w:rPr>
        <w:t xml:space="preserve"> Percentage Passing TAAS </w:t>
      </w:r>
      <w:smartTag w:uri="urn:schemas-microsoft-com:office:smarttags" w:element="City">
        <w:smartTag w:uri="urn:schemas-microsoft-com:office:smarttags" w:element="place">
          <w:r>
            <w:rPr>
              <w:b/>
              <w:sz w:val="22"/>
            </w:rPr>
            <w:t>Reading</w:t>
          </w:r>
        </w:smartTag>
      </w:smartTag>
      <w:r>
        <w:rPr>
          <w:b/>
          <w:sz w:val="22"/>
        </w:rPr>
        <w:t>, by School Type over Two Years</w:t>
      </w:r>
    </w:p>
    <w:tbl>
      <w:tblPr>
        <w:tblW w:w="82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10"/>
        <w:gridCol w:w="1638"/>
        <w:gridCol w:w="1260"/>
        <w:gridCol w:w="1260"/>
        <w:gridCol w:w="1152"/>
        <w:gridCol w:w="1260"/>
      </w:tblGrid>
      <w:tr w:rsidR="001C1946">
        <w:tblPrEx>
          <w:tblCellMar>
            <w:top w:w="0" w:type="dxa"/>
            <w:bottom w:w="0" w:type="dxa"/>
          </w:tblCellMar>
        </w:tblPrEx>
        <w:trPr>
          <w:cantSplit/>
        </w:trPr>
        <w:tc>
          <w:tcPr>
            <w:tcW w:w="1710" w:type="dxa"/>
            <w:shd w:val="clear" w:color="auto" w:fill="E0E0E0"/>
          </w:tcPr>
          <w:p w:rsidR="001C1946" w:rsidRDefault="001C1946">
            <w:pPr>
              <w:pStyle w:val="Header"/>
              <w:tabs>
                <w:tab w:val="clear" w:pos="4320"/>
                <w:tab w:val="clear" w:pos="8640"/>
              </w:tabs>
              <w:jc w:val="center"/>
              <w:rPr>
                <w:b/>
                <w:sz w:val="22"/>
              </w:rPr>
            </w:pPr>
            <w:r>
              <w:rPr>
                <w:b/>
                <w:sz w:val="22"/>
              </w:rPr>
              <w:t>1998-99</w:t>
            </w:r>
          </w:p>
        </w:tc>
        <w:tc>
          <w:tcPr>
            <w:tcW w:w="1638" w:type="dxa"/>
            <w:shd w:val="clear" w:color="auto" w:fill="E0E0E0"/>
          </w:tcPr>
          <w:p w:rsidR="001C1946" w:rsidRDefault="001C1946">
            <w:pPr>
              <w:pStyle w:val="Header"/>
              <w:tabs>
                <w:tab w:val="clear" w:pos="4320"/>
                <w:tab w:val="clear" w:pos="8640"/>
              </w:tabs>
              <w:jc w:val="center"/>
              <w:rPr>
                <w:b/>
                <w:sz w:val="22"/>
              </w:rPr>
            </w:pPr>
            <w:r>
              <w:rPr>
                <w:b/>
                <w:sz w:val="22"/>
              </w:rPr>
              <w:t>1999-00</w:t>
            </w:r>
          </w:p>
        </w:tc>
        <w:tc>
          <w:tcPr>
            <w:tcW w:w="4932" w:type="dxa"/>
            <w:gridSpan w:val="4"/>
            <w:shd w:val="clear" w:color="auto" w:fill="E0E0E0"/>
          </w:tcPr>
          <w:p w:rsidR="001C1946" w:rsidRDefault="001C1946">
            <w:pPr>
              <w:pStyle w:val="Header"/>
              <w:tabs>
                <w:tab w:val="clear" w:pos="4320"/>
                <w:tab w:val="clear" w:pos="8640"/>
              </w:tabs>
              <w:jc w:val="center"/>
              <w:rPr>
                <w:b/>
                <w:sz w:val="22"/>
              </w:rPr>
            </w:pPr>
            <w:smartTag w:uri="urn:schemas-microsoft-com:office:smarttags" w:element="City">
              <w:smartTag w:uri="urn:schemas-microsoft-com:office:smarttags" w:element="place">
                <w:r>
                  <w:rPr>
                    <w:b/>
                    <w:sz w:val="22"/>
                  </w:rPr>
                  <w:t>Reading</w:t>
                </w:r>
              </w:smartTag>
            </w:smartTag>
          </w:p>
        </w:tc>
      </w:tr>
      <w:tr w:rsidR="001C1946">
        <w:tblPrEx>
          <w:tblCellMar>
            <w:top w:w="0" w:type="dxa"/>
            <w:bottom w:w="0" w:type="dxa"/>
          </w:tblCellMar>
        </w:tblPrEx>
        <w:trPr>
          <w:cantSplit/>
        </w:trPr>
        <w:tc>
          <w:tcPr>
            <w:tcW w:w="3348" w:type="dxa"/>
            <w:gridSpan w:val="2"/>
            <w:shd w:val="clear" w:color="auto" w:fill="E0E0E0"/>
          </w:tcPr>
          <w:p w:rsidR="001C1946" w:rsidRDefault="001C1946">
            <w:pPr>
              <w:pStyle w:val="Header"/>
              <w:tabs>
                <w:tab w:val="clear" w:pos="4320"/>
                <w:tab w:val="clear" w:pos="8640"/>
              </w:tabs>
              <w:jc w:val="center"/>
              <w:rPr>
                <w:b/>
                <w:sz w:val="22"/>
              </w:rPr>
            </w:pPr>
            <w:r>
              <w:rPr>
                <w:b/>
                <w:sz w:val="22"/>
              </w:rPr>
              <w:t>75% Rule and Open-</w:t>
            </w:r>
            <w:proofErr w:type="spellStart"/>
            <w:r>
              <w:rPr>
                <w:b/>
                <w:sz w:val="22"/>
              </w:rPr>
              <w:t>Enr</w:t>
            </w:r>
            <w:proofErr w:type="spellEnd"/>
            <w:r>
              <w:rPr>
                <w:b/>
                <w:sz w:val="22"/>
              </w:rPr>
              <w:t xml:space="preserve"> ≥ 75%</w:t>
            </w:r>
          </w:p>
        </w:tc>
        <w:tc>
          <w:tcPr>
            <w:tcW w:w="1260" w:type="dxa"/>
            <w:shd w:val="clear" w:color="auto" w:fill="E0E0E0"/>
          </w:tcPr>
          <w:p w:rsidR="001C1946" w:rsidRDefault="001C1946">
            <w:pPr>
              <w:pStyle w:val="Header"/>
              <w:tabs>
                <w:tab w:val="clear" w:pos="4320"/>
                <w:tab w:val="clear" w:pos="8640"/>
              </w:tabs>
              <w:jc w:val="center"/>
              <w:rPr>
                <w:b/>
                <w:sz w:val="22"/>
              </w:rPr>
            </w:pPr>
            <w:r>
              <w:rPr>
                <w:b/>
                <w:sz w:val="22"/>
              </w:rPr>
              <w:t>N Students</w:t>
            </w:r>
          </w:p>
        </w:tc>
        <w:tc>
          <w:tcPr>
            <w:tcW w:w="1260" w:type="dxa"/>
            <w:shd w:val="clear" w:color="auto" w:fill="E0E0E0"/>
          </w:tcPr>
          <w:p w:rsidR="001C1946" w:rsidRDefault="001C1946">
            <w:pPr>
              <w:pStyle w:val="Header"/>
              <w:tabs>
                <w:tab w:val="clear" w:pos="4320"/>
                <w:tab w:val="clear" w:pos="8640"/>
              </w:tabs>
              <w:jc w:val="center"/>
              <w:rPr>
                <w:b/>
                <w:sz w:val="22"/>
              </w:rPr>
            </w:pPr>
            <w:r>
              <w:rPr>
                <w:b/>
                <w:sz w:val="22"/>
              </w:rPr>
              <w:t>1999</w:t>
            </w:r>
          </w:p>
        </w:tc>
        <w:tc>
          <w:tcPr>
            <w:tcW w:w="1152" w:type="dxa"/>
            <w:shd w:val="clear" w:color="auto" w:fill="E0E0E0"/>
          </w:tcPr>
          <w:p w:rsidR="001C1946" w:rsidRDefault="001C1946">
            <w:pPr>
              <w:pStyle w:val="Header"/>
              <w:tabs>
                <w:tab w:val="clear" w:pos="4320"/>
                <w:tab w:val="clear" w:pos="8640"/>
              </w:tabs>
              <w:jc w:val="center"/>
              <w:rPr>
                <w:b/>
                <w:sz w:val="22"/>
              </w:rPr>
            </w:pPr>
            <w:r>
              <w:rPr>
                <w:b/>
                <w:sz w:val="22"/>
              </w:rPr>
              <w:t>2000</w:t>
            </w:r>
          </w:p>
        </w:tc>
        <w:tc>
          <w:tcPr>
            <w:tcW w:w="1260" w:type="dxa"/>
            <w:shd w:val="clear" w:color="auto" w:fill="E0E0E0"/>
          </w:tcPr>
          <w:p w:rsidR="001C1946" w:rsidRDefault="001C1946">
            <w:pPr>
              <w:pStyle w:val="Header"/>
              <w:tabs>
                <w:tab w:val="clear" w:pos="4320"/>
                <w:tab w:val="clear" w:pos="8640"/>
              </w:tabs>
              <w:jc w:val="center"/>
              <w:rPr>
                <w:b/>
                <w:sz w:val="22"/>
              </w:rPr>
            </w:pPr>
            <w:r>
              <w:rPr>
                <w:b/>
                <w:sz w:val="22"/>
              </w:rPr>
              <w:t>Difference</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Charter</w:t>
            </w:r>
          </w:p>
        </w:tc>
        <w:tc>
          <w:tcPr>
            <w:tcW w:w="1638" w:type="dxa"/>
          </w:tcPr>
          <w:p w:rsidR="001C1946" w:rsidRDefault="001C1946">
            <w:pPr>
              <w:pStyle w:val="Header"/>
              <w:tabs>
                <w:tab w:val="clear" w:pos="4320"/>
                <w:tab w:val="clear" w:pos="8640"/>
              </w:tabs>
              <w:rPr>
                <w:sz w:val="22"/>
              </w:rPr>
            </w:pPr>
            <w:r>
              <w:rPr>
                <w:sz w:val="22"/>
              </w:rPr>
              <w:t>Charter</w:t>
            </w:r>
          </w:p>
        </w:tc>
        <w:tc>
          <w:tcPr>
            <w:tcW w:w="1260" w:type="dxa"/>
          </w:tcPr>
          <w:p w:rsidR="001C1946" w:rsidRDefault="001C1946">
            <w:pPr>
              <w:pStyle w:val="Header"/>
              <w:tabs>
                <w:tab w:val="clear" w:pos="4320"/>
                <w:tab w:val="clear" w:pos="8640"/>
              </w:tabs>
              <w:ind w:right="346"/>
              <w:jc w:val="right"/>
              <w:rPr>
                <w:sz w:val="22"/>
              </w:rPr>
            </w:pPr>
            <w:r>
              <w:rPr>
                <w:sz w:val="22"/>
              </w:rPr>
              <w:t>368</w:t>
            </w:r>
          </w:p>
        </w:tc>
        <w:tc>
          <w:tcPr>
            <w:tcW w:w="1260" w:type="dxa"/>
          </w:tcPr>
          <w:p w:rsidR="001C1946" w:rsidRDefault="001C1946">
            <w:pPr>
              <w:pStyle w:val="Header"/>
              <w:tabs>
                <w:tab w:val="clear" w:pos="4320"/>
                <w:tab w:val="clear" w:pos="8640"/>
              </w:tabs>
              <w:jc w:val="center"/>
              <w:rPr>
                <w:sz w:val="22"/>
              </w:rPr>
            </w:pPr>
            <w:r>
              <w:rPr>
                <w:sz w:val="22"/>
              </w:rPr>
              <w:t>77.7%</w:t>
            </w:r>
          </w:p>
        </w:tc>
        <w:tc>
          <w:tcPr>
            <w:tcW w:w="1152" w:type="dxa"/>
          </w:tcPr>
          <w:p w:rsidR="001C1946" w:rsidRDefault="001C1946">
            <w:pPr>
              <w:pStyle w:val="Header"/>
              <w:tabs>
                <w:tab w:val="clear" w:pos="4320"/>
                <w:tab w:val="clear" w:pos="8640"/>
              </w:tabs>
              <w:jc w:val="center"/>
              <w:rPr>
                <w:sz w:val="22"/>
              </w:rPr>
            </w:pPr>
            <w:r>
              <w:rPr>
                <w:sz w:val="22"/>
              </w:rPr>
              <w:t>89.4%</w:t>
            </w:r>
          </w:p>
        </w:tc>
        <w:tc>
          <w:tcPr>
            <w:tcW w:w="1260" w:type="dxa"/>
          </w:tcPr>
          <w:p w:rsidR="001C1946" w:rsidRDefault="001C1946">
            <w:pPr>
              <w:pStyle w:val="Header"/>
              <w:tabs>
                <w:tab w:val="clear" w:pos="4320"/>
                <w:tab w:val="clear" w:pos="8640"/>
              </w:tabs>
              <w:ind w:right="360"/>
              <w:jc w:val="right"/>
              <w:rPr>
                <w:sz w:val="22"/>
              </w:rPr>
            </w:pPr>
            <w:r>
              <w:rPr>
                <w:sz w:val="22"/>
              </w:rPr>
              <w:t>11.7</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 xml:space="preserve">Public </w:t>
            </w:r>
          </w:p>
        </w:tc>
        <w:tc>
          <w:tcPr>
            <w:tcW w:w="1638" w:type="dxa"/>
          </w:tcPr>
          <w:p w:rsidR="001C1946" w:rsidRDefault="001C1946">
            <w:pPr>
              <w:pStyle w:val="Header"/>
              <w:tabs>
                <w:tab w:val="clear" w:pos="4320"/>
                <w:tab w:val="clear" w:pos="8640"/>
              </w:tabs>
              <w:rPr>
                <w:sz w:val="22"/>
              </w:rPr>
            </w:pPr>
            <w:r>
              <w:rPr>
                <w:sz w:val="22"/>
              </w:rPr>
              <w:t>Charter</w:t>
            </w:r>
          </w:p>
        </w:tc>
        <w:tc>
          <w:tcPr>
            <w:tcW w:w="1260" w:type="dxa"/>
          </w:tcPr>
          <w:p w:rsidR="001C1946" w:rsidRDefault="001C1946">
            <w:pPr>
              <w:pStyle w:val="Header"/>
              <w:tabs>
                <w:tab w:val="clear" w:pos="4320"/>
                <w:tab w:val="clear" w:pos="8640"/>
              </w:tabs>
              <w:ind w:right="346"/>
              <w:jc w:val="right"/>
              <w:rPr>
                <w:sz w:val="22"/>
              </w:rPr>
            </w:pPr>
            <w:r>
              <w:rPr>
                <w:sz w:val="22"/>
              </w:rPr>
              <w:t>896</w:t>
            </w:r>
          </w:p>
        </w:tc>
        <w:tc>
          <w:tcPr>
            <w:tcW w:w="1260" w:type="dxa"/>
          </w:tcPr>
          <w:p w:rsidR="001C1946" w:rsidRDefault="001C1946">
            <w:pPr>
              <w:pStyle w:val="Header"/>
              <w:tabs>
                <w:tab w:val="clear" w:pos="4320"/>
                <w:tab w:val="clear" w:pos="8640"/>
              </w:tabs>
              <w:jc w:val="center"/>
              <w:rPr>
                <w:sz w:val="22"/>
              </w:rPr>
            </w:pPr>
            <w:r>
              <w:rPr>
                <w:sz w:val="22"/>
              </w:rPr>
              <w:t>63.1%</w:t>
            </w:r>
          </w:p>
        </w:tc>
        <w:tc>
          <w:tcPr>
            <w:tcW w:w="1152" w:type="dxa"/>
          </w:tcPr>
          <w:p w:rsidR="001C1946" w:rsidRDefault="001C1946">
            <w:pPr>
              <w:pStyle w:val="Header"/>
              <w:tabs>
                <w:tab w:val="clear" w:pos="4320"/>
                <w:tab w:val="clear" w:pos="8640"/>
              </w:tabs>
              <w:jc w:val="center"/>
              <w:rPr>
                <w:sz w:val="22"/>
              </w:rPr>
            </w:pPr>
            <w:r>
              <w:rPr>
                <w:sz w:val="22"/>
              </w:rPr>
              <w:t>62.3%</w:t>
            </w:r>
          </w:p>
        </w:tc>
        <w:tc>
          <w:tcPr>
            <w:tcW w:w="1260" w:type="dxa"/>
          </w:tcPr>
          <w:p w:rsidR="001C1946" w:rsidRDefault="001C1946">
            <w:pPr>
              <w:pStyle w:val="Header"/>
              <w:tabs>
                <w:tab w:val="clear" w:pos="4320"/>
                <w:tab w:val="clear" w:pos="8640"/>
              </w:tabs>
              <w:ind w:right="360"/>
              <w:jc w:val="right"/>
              <w:rPr>
                <w:sz w:val="22"/>
              </w:rPr>
            </w:pPr>
            <w:r>
              <w:rPr>
                <w:sz w:val="22"/>
              </w:rPr>
              <w:t>-0.8</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Charter</w:t>
            </w:r>
          </w:p>
        </w:tc>
        <w:tc>
          <w:tcPr>
            <w:tcW w:w="1638" w:type="dxa"/>
          </w:tcPr>
          <w:p w:rsidR="001C1946" w:rsidRDefault="001C1946">
            <w:pPr>
              <w:pStyle w:val="Header"/>
              <w:tabs>
                <w:tab w:val="clear" w:pos="4320"/>
                <w:tab w:val="clear" w:pos="8640"/>
              </w:tabs>
              <w:rPr>
                <w:sz w:val="22"/>
              </w:rPr>
            </w:pPr>
            <w:r>
              <w:rPr>
                <w:sz w:val="22"/>
              </w:rPr>
              <w:t xml:space="preserve">Public </w:t>
            </w:r>
          </w:p>
        </w:tc>
        <w:tc>
          <w:tcPr>
            <w:tcW w:w="1260" w:type="dxa"/>
          </w:tcPr>
          <w:p w:rsidR="001C1946" w:rsidRDefault="001C1946">
            <w:pPr>
              <w:pStyle w:val="Header"/>
              <w:tabs>
                <w:tab w:val="clear" w:pos="4320"/>
                <w:tab w:val="clear" w:pos="8640"/>
              </w:tabs>
              <w:ind w:right="346"/>
              <w:jc w:val="right"/>
              <w:rPr>
                <w:sz w:val="22"/>
              </w:rPr>
            </w:pPr>
            <w:r>
              <w:rPr>
                <w:sz w:val="22"/>
              </w:rPr>
              <w:t>110</w:t>
            </w:r>
          </w:p>
        </w:tc>
        <w:tc>
          <w:tcPr>
            <w:tcW w:w="1260" w:type="dxa"/>
          </w:tcPr>
          <w:p w:rsidR="001C1946" w:rsidRDefault="001C1946">
            <w:pPr>
              <w:pStyle w:val="Header"/>
              <w:tabs>
                <w:tab w:val="clear" w:pos="4320"/>
                <w:tab w:val="clear" w:pos="8640"/>
              </w:tabs>
              <w:jc w:val="center"/>
              <w:rPr>
                <w:sz w:val="22"/>
              </w:rPr>
            </w:pPr>
            <w:r>
              <w:rPr>
                <w:sz w:val="22"/>
              </w:rPr>
              <w:t>78.1%</w:t>
            </w:r>
          </w:p>
        </w:tc>
        <w:tc>
          <w:tcPr>
            <w:tcW w:w="1152" w:type="dxa"/>
          </w:tcPr>
          <w:p w:rsidR="001C1946" w:rsidRDefault="001C1946">
            <w:pPr>
              <w:pStyle w:val="Header"/>
              <w:tabs>
                <w:tab w:val="clear" w:pos="4320"/>
                <w:tab w:val="clear" w:pos="8640"/>
              </w:tabs>
              <w:jc w:val="center"/>
              <w:rPr>
                <w:sz w:val="22"/>
              </w:rPr>
            </w:pPr>
            <w:r>
              <w:rPr>
                <w:sz w:val="22"/>
              </w:rPr>
              <w:t>84.5%</w:t>
            </w:r>
          </w:p>
        </w:tc>
        <w:tc>
          <w:tcPr>
            <w:tcW w:w="1260" w:type="dxa"/>
          </w:tcPr>
          <w:p w:rsidR="001C1946" w:rsidRDefault="001C1946">
            <w:pPr>
              <w:pStyle w:val="Header"/>
              <w:tabs>
                <w:tab w:val="clear" w:pos="4320"/>
                <w:tab w:val="clear" w:pos="8640"/>
              </w:tabs>
              <w:ind w:right="360"/>
              <w:jc w:val="right"/>
              <w:rPr>
                <w:sz w:val="22"/>
              </w:rPr>
            </w:pPr>
            <w:r>
              <w:rPr>
                <w:sz w:val="22"/>
              </w:rPr>
              <w:t>6.4</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 xml:space="preserve">Public* </w:t>
            </w:r>
          </w:p>
        </w:tc>
        <w:tc>
          <w:tcPr>
            <w:tcW w:w="1638" w:type="dxa"/>
          </w:tcPr>
          <w:p w:rsidR="001C1946" w:rsidRDefault="001C1946">
            <w:pPr>
              <w:pStyle w:val="Header"/>
              <w:tabs>
                <w:tab w:val="clear" w:pos="4320"/>
                <w:tab w:val="clear" w:pos="8640"/>
              </w:tabs>
              <w:rPr>
                <w:sz w:val="22"/>
              </w:rPr>
            </w:pPr>
            <w:r>
              <w:rPr>
                <w:sz w:val="22"/>
              </w:rPr>
              <w:t xml:space="preserve">Public* </w:t>
            </w:r>
          </w:p>
        </w:tc>
        <w:tc>
          <w:tcPr>
            <w:tcW w:w="1260" w:type="dxa"/>
          </w:tcPr>
          <w:p w:rsidR="001C1946" w:rsidRDefault="001C1946">
            <w:pPr>
              <w:pStyle w:val="Header"/>
              <w:tabs>
                <w:tab w:val="clear" w:pos="4320"/>
                <w:tab w:val="clear" w:pos="8640"/>
              </w:tabs>
              <w:ind w:right="346"/>
              <w:jc w:val="right"/>
              <w:rPr>
                <w:sz w:val="22"/>
              </w:rPr>
            </w:pPr>
            <w:r>
              <w:rPr>
                <w:sz w:val="22"/>
              </w:rPr>
              <w:t>25</w:t>
            </w:r>
          </w:p>
        </w:tc>
        <w:tc>
          <w:tcPr>
            <w:tcW w:w="1260" w:type="dxa"/>
          </w:tcPr>
          <w:p w:rsidR="001C1946" w:rsidRDefault="001C1946">
            <w:pPr>
              <w:pStyle w:val="Header"/>
              <w:tabs>
                <w:tab w:val="clear" w:pos="4320"/>
                <w:tab w:val="clear" w:pos="8640"/>
              </w:tabs>
              <w:jc w:val="center"/>
              <w:rPr>
                <w:sz w:val="22"/>
              </w:rPr>
            </w:pPr>
            <w:r>
              <w:rPr>
                <w:sz w:val="22"/>
              </w:rPr>
              <w:t>56.0%</w:t>
            </w:r>
          </w:p>
        </w:tc>
        <w:tc>
          <w:tcPr>
            <w:tcW w:w="1152" w:type="dxa"/>
          </w:tcPr>
          <w:p w:rsidR="001C1946" w:rsidRDefault="001C1946">
            <w:pPr>
              <w:pStyle w:val="Header"/>
              <w:tabs>
                <w:tab w:val="clear" w:pos="4320"/>
                <w:tab w:val="clear" w:pos="8640"/>
              </w:tabs>
              <w:jc w:val="center"/>
              <w:rPr>
                <w:sz w:val="22"/>
              </w:rPr>
            </w:pPr>
            <w:r>
              <w:rPr>
                <w:sz w:val="22"/>
              </w:rPr>
              <w:t>72.0%</w:t>
            </w:r>
          </w:p>
        </w:tc>
        <w:tc>
          <w:tcPr>
            <w:tcW w:w="1260" w:type="dxa"/>
          </w:tcPr>
          <w:p w:rsidR="001C1946" w:rsidRDefault="001C1946">
            <w:pPr>
              <w:pStyle w:val="Header"/>
              <w:tabs>
                <w:tab w:val="clear" w:pos="4320"/>
                <w:tab w:val="clear" w:pos="8640"/>
              </w:tabs>
              <w:ind w:right="360"/>
              <w:jc w:val="right"/>
              <w:rPr>
                <w:sz w:val="22"/>
              </w:rPr>
            </w:pPr>
            <w:r>
              <w:rPr>
                <w:sz w:val="22"/>
              </w:rPr>
              <w:t>16.0</w:t>
            </w:r>
          </w:p>
        </w:tc>
      </w:tr>
      <w:tr w:rsidR="001C1946">
        <w:tblPrEx>
          <w:tblCellMar>
            <w:top w:w="0" w:type="dxa"/>
            <w:bottom w:w="0" w:type="dxa"/>
          </w:tblCellMar>
        </w:tblPrEx>
        <w:trPr>
          <w:cantSplit/>
        </w:trPr>
        <w:tc>
          <w:tcPr>
            <w:tcW w:w="3348" w:type="dxa"/>
            <w:gridSpan w:val="2"/>
            <w:shd w:val="pct10" w:color="auto" w:fill="auto"/>
          </w:tcPr>
          <w:p w:rsidR="001C1946" w:rsidRDefault="001C1946">
            <w:pPr>
              <w:pStyle w:val="Header"/>
              <w:tabs>
                <w:tab w:val="clear" w:pos="4320"/>
                <w:tab w:val="clear" w:pos="8640"/>
              </w:tabs>
              <w:jc w:val="center"/>
              <w:rPr>
                <w:b/>
                <w:sz w:val="22"/>
              </w:rPr>
            </w:pPr>
            <w:r>
              <w:rPr>
                <w:b/>
                <w:sz w:val="22"/>
              </w:rPr>
              <w:t>Open-</w:t>
            </w:r>
            <w:proofErr w:type="spellStart"/>
            <w:r>
              <w:rPr>
                <w:b/>
                <w:sz w:val="22"/>
              </w:rPr>
              <w:t>Enr</w:t>
            </w:r>
            <w:proofErr w:type="spellEnd"/>
            <w:r>
              <w:rPr>
                <w:b/>
                <w:sz w:val="22"/>
              </w:rPr>
              <w:t xml:space="preserve"> &lt; 75%</w:t>
            </w:r>
          </w:p>
        </w:tc>
        <w:tc>
          <w:tcPr>
            <w:tcW w:w="1260" w:type="dxa"/>
            <w:shd w:val="pct10" w:color="auto" w:fill="auto"/>
          </w:tcPr>
          <w:p w:rsidR="001C1946" w:rsidRDefault="001C1946">
            <w:pPr>
              <w:pStyle w:val="Header"/>
              <w:tabs>
                <w:tab w:val="clear" w:pos="4320"/>
                <w:tab w:val="clear" w:pos="8640"/>
              </w:tabs>
              <w:jc w:val="center"/>
              <w:rPr>
                <w:b/>
                <w:sz w:val="22"/>
              </w:rPr>
            </w:pPr>
            <w:r>
              <w:rPr>
                <w:b/>
                <w:sz w:val="22"/>
              </w:rPr>
              <w:t>N Students</w:t>
            </w:r>
          </w:p>
        </w:tc>
        <w:tc>
          <w:tcPr>
            <w:tcW w:w="1260" w:type="dxa"/>
            <w:shd w:val="pct10" w:color="auto" w:fill="auto"/>
          </w:tcPr>
          <w:p w:rsidR="001C1946" w:rsidRDefault="001C1946">
            <w:pPr>
              <w:pStyle w:val="Header"/>
              <w:tabs>
                <w:tab w:val="clear" w:pos="4320"/>
                <w:tab w:val="clear" w:pos="8640"/>
              </w:tabs>
              <w:jc w:val="center"/>
              <w:rPr>
                <w:b/>
                <w:sz w:val="22"/>
              </w:rPr>
            </w:pPr>
            <w:r>
              <w:rPr>
                <w:b/>
                <w:sz w:val="22"/>
              </w:rPr>
              <w:t>1999</w:t>
            </w:r>
          </w:p>
        </w:tc>
        <w:tc>
          <w:tcPr>
            <w:tcW w:w="1152" w:type="dxa"/>
            <w:shd w:val="pct10" w:color="auto" w:fill="auto"/>
          </w:tcPr>
          <w:p w:rsidR="001C1946" w:rsidRDefault="001C1946">
            <w:pPr>
              <w:pStyle w:val="Header"/>
              <w:tabs>
                <w:tab w:val="clear" w:pos="4320"/>
                <w:tab w:val="clear" w:pos="8640"/>
              </w:tabs>
              <w:jc w:val="center"/>
              <w:rPr>
                <w:b/>
                <w:sz w:val="22"/>
              </w:rPr>
            </w:pPr>
            <w:r>
              <w:rPr>
                <w:b/>
                <w:sz w:val="22"/>
              </w:rPr>
              <w:t>2000</w:t>
            </w:r>
          </w:p>
        </w:tc>
        <w:tc>
          <w:tcPr>
            <w:tcW w:w="1260" w:type="dxa"/>
            <w:shd w:val="pct10" w:color="auto" w:fill="auto"/>
          </w:tcPr>
          <w:p w:rsidR="001C1946" w:rsidRDefault="001C1946">
            <w:pPr>
              <w:pStyle w:val="Header"/>
              <w:tabs>
                <w:tab w:val="clear" w:pos="4320"/>
                <w:tab w:val="clear" w:pos="8640"/>
              </w:tabs>
              <w:jc w:val="center"/>
              <w:rPr>
                <w:b/>
                <w:sz w:val="22"/>
              </w:rPr>
            </w:pPr>
            <w:r>
              <w:rPr>
                <w:b/>
                <w:sz w:val="22"/>
              </w:rPr>
              <w:t>Difference</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Charter</w:t>
            </w:r>
          </w:p>
        </w:tc>
        <w:tc>
          <w:tcPr>
            <w:tcW w:w="1638" w:type="dxa"/>
          </w:tcPr>
          <w:p w:rsidR="001C1946" w:rsidRDefault="001C1946">
            <w:pPr>
              <w:pStyle w:val="Header"/>
              <w:tabs>
                <w:tab w:val="clear" w:pos="4320"/>
                <w:tab w:val="clear" w:pos="8640"/>
              </w:tabs>
              <w:rPr>
                <w:sz w:val="22"/>
              </w:rPr>
            </w:pPr>
            <w:r>
              <w:rPr>
                <w:sz w:val="22"/>
              </w:rPr>
              <w:t>Charter</w:t>
            </w:r>
          </w:p>
        </w:tc>
        <w:tc>
          <w:tcPr>
            <w:tcW w:w="1260" w:type="dxa"/>
          </w:tcPr>
          <w:p w:rsidR="001C1946" w:rsidRDefault="001C1946">
            <w:pPr>
              <w:pStyle w:val="Header"/>
              <w:tabs>
                <w:tab w:val="clear" w:pos="4320"/>
                <w:tab w:val="clear" w:pos="8640"/>
              </w:tabs>
              <w:ind w:right="270"/>
              <w:jc w:val="right"/>
              <w:rPr>
                <w:sz w:val="22"/>
              </w:rPr>
            </w:pPr>
            <w:r>
              <w:rPr>
                <w:sz w:val="22"/>
              </w:rPr>
              <w:t>1,248</w:t>
            </w:r>
          </w:p>
        </w:tc>
        <w:tc>
          <w:tcPr>
            <w:tcW w:w="1260" w:type="dxa"/>
          </w:tcPr>
          <w:p w:rsidR="001C1946" w:rsidRDefault="001C1946">
            <w:pPr>
              <w:pStyle w:val="Header"/>
              <w:tabs>
                <w:tab w:val="clear" w:pos="4320"/>
                <w:tab w:val="clear" w:pos="8640"/>
              </w:tabs>
              <w:jc w:val="center"/>
              <w:rPr>
                <w:sz w:val="22"/>
              </w:rPr>
            </w:pPr>
            <w:r>
              <w:rPr>
                <w:sz w:val="22"/>
              </w:rPr>
              <w:t>72.6%</w:t>
            </w:r>
          </w:p>
        </w:tc>
        <w:tc>
          <w:tcPr>
            <w:tcW w:w="1152" w:type="dxa"/>
          </w:tcPr>
          <w:p w:rsidR="001C1946" w:rsidRDefault="001C1946">
            <w:pPr>
              <w:pStyle w:val="Header"/>
              <w:tabs>
                <w:tab w:val="clear" w:pos="4320"/>
                <w:tab w:val="clear" w:pos="8640"/>
              </w:tabs>
              <w:jc w:val="center"/>
              <w:rPr>
                <w:sz w:val="22"/>
              </w:rPr>
            </w:pPr>
            <w:r>
              <w:rPr>
                <w:sz w:val="22"/>
              </w:rPr>
              <w:t>79.5%</w:t>
            </w:r>
          </w:p>
        </w:tc>
        <w:tc>
          <w:tcPr>
            <w:tcW w:w="1260" w:type="dxa"/>
          </w:tcPr>
          <w:p w:rsidR="001C1946" w:rsidRDefault="001C1946">
            <w:pPr>
              <w:pStyle w:val="Header"/>
              <w:tabs>
                <w:tab w:val="clear" w:pos="4320"/>
                <w:tab w:val="clear" w:pos="8640"/>
              </w:tabs>
              <w:ind w:right="360"/>
              <w:jc w:val="right"/>
              <w:rPr>
                <w:sz w:val="22"/>
              </w:rPr>
            </w:pPr>
            <w:r>
              <w:rPr>
                <w:sz w:val="22"/>
              </w:rPr>
              <w:t>6.9</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 xml:space="preserve">Public </w:t>
            </w:r>
          </w:p>
        </w:tc>
        <w:tc>
          <w:tcPr>
            <w:tcW w:w="1638" w:type="dxa"/>
          </w:tcPr>
          <w:p w:rsidR="001C1946" w:rsidRDefault="001C1946">
            <w:pPr>
              <w:pStyle w:val="Header"/>
              <w:tabs>
                <w:tab w:val="clear" w:pos="4320"/>
                <w:tab w:val="clear" w:pos="8640"/>
              </w:tabs>
              <w:rPr>
                <w:sz w:val="22"/>
              </w:rPr>
            </w:pPr>
            <w:r>
              <w:rPr>
                <w:sz w:val="22"/>
              </w:rPr>
              <w:t>Charter</w:t>
            </w:r>
          </w:p>
        </w:tc>
        <w:tc>
          <w:tcPr>
            <w:tcW w:w="1260" w:type="dxa"/>
          </w:tcPr>
          <w:p w:rsidR="001C1946" w:rsidRDefault="001C1946">
            <w:pPr>
              <w:pStyle w:val="Header"/>
              <w:tabs>
                <w:tab w:val="clear" w:pos="4320"/>
                <w:tab w:val="clear" w:pos="8640"/>
              </w:tabs>
              <w:ind w:right="270"/>
              <w:jc w:val="right"/>
              <w:rPr>
                <w:sz w:val="22"/>
              </w:rPr>
            </w:pPr>
            <w:r>
              <w:rPr>
                <w:sz w:val="22"/>
              </w:rPr>
              <w:t>1,729</w:t>
            </w:r>
          </w:p>
        </w:tc>
        <w:tc>
          <w:tcPr>
            <w:tcW w:w="1260" w:type="dxa"/>
          </w:tcPr>
          <w:p w:rsidR="001C1946" w:rsidRDefault="001C1946">
            <w:pPr>
              <w:pStyle w:val="Header"/>
              <w:tabs>
                <w:tab w:val="clear" w:pos="4320"/>
                <w:tab w:val="clear" w:pos="8640"/>
              </w:tabs>
              <w:jc w:val="center"/>
              <w:rPr>
                <w:sz w:val="22"/>
              </w:rPr>
            </w:pPr>
            <w:r>
              <w:rPr>
                <w:sz w:val="22"/>
              </w:rPr>
              <w:t>75.6%</w:t>
            </w:r>
          </w:p>
        </w:tc>
        <w:tc>
          <w:tcPr>
            <w:tcW w:w="1152" w:type="dxa"/>
          </w:tcPr>
          <w:p w:rsidR="001C1946" w:rsidRDefault="001C1946">
            <w:pPr>
              <w:pStyle w:val="Header"/>
              <w:tabs>
                <w:tab w:val="clear" w:pos="4320"/>
                <w:tab w:val="clear" w:pos="8640"/>
              </w:tabs>
              <w:jc w:val="center"/>
              <w:rPr>
                <w:sz w:val="22"/>
              </w:rPr>
            </w:pPr>
            <w:r>
              <w:rPr>
                <w:sz w:val="22"/>
              </w:rPr>
              <w:t>74.9%</w:t>
            </w:r>
          </w:p>
        </w:tc>
        <w:tc>
          <w:tcPr>
            <w:tcW w:w="1260" w:type="dxa"/>
          </w:tcPr>
          <w:p w:rsidR="001C1946" w:rsidRDefault="001C1946">
            <w:pPr>
              <w:pStyle w:val="Header"/>
              <w:tabs>
                <w:tab w:val="clear" w:pos="4320"/>
                <w:tab w:val="clear" w:pos="8640"/>
              </w:tabs>
              <w:ind w:right="360"/>
              <w:jc w:val="right"/>
              <w:rPr>
                <w:sz w:val="22"/>
              </w:rPr>
            </w:pPr>
            <w:r>
              <w:rPr>
                <w:sz w:val="22"/>
              </w:rPr>
              <w:t>-0.7</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Charter</w:t>
            </w:r>
          </w:p>
        </w:tc>
        <w:tc>
          <w:tcPr>
            <w:tcW w:w="1638" w:type="dxa"/>
          </w:tcPr>
          <w:p w:rsidR="001C1946" w:rsidRDefault="001C1946">
            <w:pPr>
              <w:pStyle w:val="Header"/>
              <w:tabs>
                <w:tab w:val="clear" w:pos="4320"/>
                <w:tab w:val="clear" w:pos="8640"/>
              </w:tabs>
              <w:rPr>
                <w:sz w:val="22"/>
              </w:rPr>
            </w:pPr>
            <w:r>
              <w:rPr>
                <w:sz w:val="22"/>
              </w:rPr>
              <w:t>Public</w:t>
            </w:r>
          </w:p>
        </w:tc>
        <w:tc>
          <w:tcPr>
            <w:tcW w:w="1260" w:type="dxa"/>
          </w:tcPr>
          <w:p w:rsidR="001C1946" w:rsidRDefault="001C1946">
            <w:pPr>
              <w:pStyle w:val="Header"/>
              <w:tabs>
                <w:tab w:val="clear" w:pos="4320"/>
                <w:tab w:val="clear" w:pos="8640"/>
              </w:tabs>
              <w:ind w:right="270"/>
              <w:jc w:val="right"/>
              <w:rPr>
                <w:sz w:val="22"/>
              </w:rPr>
            </w:pPr>
            <w:r>
              <w:rPr>
                <w:sz w:val="22"/>
              </w:rPr>
              <w:t>446</w:t>
            </w:r>
          </w:p>
        </w:tc>
        <w:tc>
          <w:tcPr>
            <w:tcW w:w="1260" w:type="dxa"/>
          </w:tcPr>
          <w:p w:rsidR="001C1946" w:rsidRDefault="001C1946">
            <w:pPr>
              <w:pStyle w:val="Header"/>
              <w:tabs>
                <w:tab w:val="clear" w:pos="4320"/>
                <w:tab w:val="clear" w:pos="8640"/>
              </w:tabs>
              <w:jc w:val="center"/>
              <w:rPr>
                <w:sz w:val="22"/>
              </w:rPr>
            </w:pPr>
            <w:r>
              <w:rPr>
                <w:sz w:val="22"/>
              </w:rPr>
              <w:t>78.4%</w:t>
            </w:r>
          </w:p>
        </w:tc>
        <w:tc>
          <w:tcPr>
            <w:tcW w:w="1152" w:type="dxa"/>
          </w:tcPr>
          <w:p w:rsidR="001C1946" w:rsidRDefault="001C1946">
            <w:pPr>
              <w:pStyle w:val="Header"/>
              <w:tabs>
                <w:tab w:val="clear" w:pos="4320"/>
                <w:tab w:val="clear" w:pos="8640"/>
              </w:tabs>
              <w:jc w:val="center"/>
              <w:rPr>
                <w:sz w:val="22"/>
              </w:rPr>
            </w:pPr>
            <w:r>
              <w:rPr>
                <w:sz w:val="22"/>
              </w:rPr>
              <w:t>83.1%</w:t>
            </w:r>
          </w:p>
        </w:tc>
        <w:tc>
          <w:tcPr>
            <w:tcW w:w="1260" w:type="dxa"/>
          </w:tcPr>
          <w:p w:rsidR="001C1946" w:rsidRDefault="001C1946">
            <w:pPr>
              <w:pStyle w:val="Header"/>
              <w:tabs>
                <w:tab w:val="clear" w:pos="4320"/>
                <w:tab w:val="clear" w:pos="8640"/>
              </w:tabs>
              <w:ind w:right="360"/>
              <w:jc w:val="right"/>
              <w:rPr>
                <w:sz w:val="22"/>
              </w:rPr>
            </w:pPr>
            <w:r>
              <w:rPr>
                <w:sz w:val="22"/>
              </w:rPr>
              <w:t>4.7</w:t>
            </w:r>
          </w:p>
        </w:tc>
      </w:tr>
      <w:tr w:rsidR="001C1946">
        <w:tblPrEx>
          <w:tblCellMar>
            <w:top w:w="0" w:type="dxa"/>
            <w:bottom w:w="0" w:type="dxa"/>
          </w:tblCellMar>
        </w:tblPrEx>
        <w:trPr>
          <w:cantSplit/>
        </w:trPr>
        <w:tc>
          <w:tcPr>
            <w:tcW w:w="1710" w:type="dxa"/>
          </w:tcPr>
          <w:p w:rsidR="001C1946" w:rsidRDefault="001C1946">
            <w:pPr>
              <w:pStyle w:val="Header"/>
              <w:tabs>
                <w:tab w:val="clear" w:pos="4320"/>
                <w:tab w:val="clear" w:pos="8640"/>
              </w:tabs>
              <w:rPr>
                <w:sz w:val="22"/>
              </w:rPr>
            </w:pPr>
            <w:r>
              <w:rPr>
                <w:sz w:val="22"/>
              </w:rPr>
              <w:t>Public*</w:t>
            </w:r>
          </w:p>
        </w:tc>
        <w:tc>
          <w:tcPr>
            <w:tcW w:w="1638" w:type="dxa"/>
          </w:tcPr>
          <w:p w:rsidR="001C1946" w:rsidRDefault="001C1946">
            <w:pPr>
              <w:pStyle w:val="Header"/>
              <w:tabs>
                <w:tab w:val="clear" w:pos="4320"/>
                <w:tab w:val="clear" w:pos="8640"/>
              </w:tabs>
              <w:rPr>
                <w:sz w:val="22"/>
              </w:rPr>
            </w:pPr>
            <w:r>
              <w:rPr>
                <w:sz w:val="22"/>
              </w:rPr>
              <w:t>Public*</w:t>
            </w:r>
          </w:p>
        </w:tc>
        <w:tc>
          <w:tcPr>
            <w:tcW w:w="1260" w:type="dxa"/>
          </w:tcPr>
          <w:p w:rsidR="001C1946" w:rsidRDefault="001C1946">
            <w:pPr>
              <w:pStyle w:val="Header"/>
              <w:tabs>
                <w:tab w:val="clear" w:pos="4320"/>
                <w:tab w:val="clear" w:pos="8640"/>
              </w:tabs>
              <w:ind w:right="270"/>
              <w:jc w:val="right"/>
              <w:rPr>
                <w:sz w:val="22"/>
              </w:rPr>
            </w:pPr>
            <w:r>
              <w:rPr>
                <w:sz w:val="22"/>
              </w:rPr>
              <w:t>81</w:t>
            </w:r>
          </w:p>
        </w:tc>
        <w:tc>
          <w:tcPr>
            <w:tcW w:w="1260" w:type="dxa"/>
          </w:tcPr>
          <w:p w:rsidR="001C1946" w:rsidRDefault="001C1946">
            <w:pPr>
              <w:pStyle w:val="Header"/>
              <w:tabs>
                <w:tab w:val="clear" w:pos="4320"/>
                <w:tab w:val="clear" w:pos="8640"/>
              </w:tabs>
              <w:jc w:val="center"/>
              <w:rPr>
                <w:sz w:val="22"/>
              </w:rPr>
            </w:pPr>
            <w:r>
              <w:rPr>
                <w:sz w:val="22"/>
              </w:rPr>
              <w:t>86.4%</w:t>
            </w:r>
          </w:p>
        </w:tc>
        <w:tc>
          <w:tcPr>
            <w:tcW w:w="1152" w:type="dxa"/>
          </w:tcPr>
          <w:p w:rsidR="001C1946" w:rsidRDefault="001C1946">
            <w:pPr>
              <w:pStyle w:val="Header"/>
              <w:tabs>
                <w:tab w:val="clear" w:pos="4320"/>
                <w:tab w:val="clear" w:pos="8640"/>
              </w:tabs>
              <w:jc w:val="center"/>
              <w:rPr>
                <w:sz w:val="22"/>
              </w:rPr>
            </w:pPr>
            <w:r>
              <w:rPr>
                <w:sz w:val="22"/>
              </w:rPr>
              <w:t>90.1%</w:t>
            </w:r>
          </w:p>
        </w:tc>
        <w:tc>
          <w:tcPr>
            <w:tcW w:w="1260" w:type="dxa"/>
          </w:tcPr>
          <w:p w:rsidR="001C1946" w:rsidRDefault="001C1946">
            <w:pPr>
              <w:pStyle w:val="Header"/>
              <w:tabs>
                <w:tab w:val="clear" w:pos="4320"/>
                <w:tab w:val="clear" w:pos="8640"/>
              </w:tabs>
              <w:ind w:right="360"/>
              <w:jc w:val="right"/>
              <w:rPr>
                <w:sz w:val="22"/>
              </w:rPr>
            </w:pPr>
            <w:r>
              <w:rPr>
                <w:sz w:val="22"/>
              </w:rPr>
              <w:t>9.0</w:t>
            </w:r>
          </w:p>
        </w:tc>
      </w:tr>
    </w:tbl>
    <w:p w:rsidR="001C1946" w:rsidRDefault="001C1946">
      <w:pPr>
        <w:pStyle w:val="Header"/>
        <w:tabs>
          <w:tab w:val="clear" w:pos="4320"/>
          <w:tab w:val="clear" w:pos="8640"/>
        </w:tabs>
        <w:rPr>
          <w:iCs/>
        </w:rPr>
      </w:pPr>
      <w:r>
        <w:rPr>
          <w:iCs/>
          <w:sz w:val="18"/>
        </w:rPr>
        <w:t>* Students in traditional public schools who attended charter schools some time between 1996-97 and 1999-00</w:t>
      </w:r>
      <w:r>
        <w:rPr>
          <w:iCs/>
        </w:rPr>
        <w:t>.</w:t>
      </w:r>
    </w:p>
    <w:p w:rsidR="001C1946" w:rsidRDefault="001C1946">
      <w:pPr>
        <w:pStyle w:val="Header"/>
        <w:tabs>
          <w:tab w:val="clear" w:pos="4320"/>
          <w:tab w:val="clear" w:pos="8640"/>
        </w:tabs>
        <w:spacing w:after="60"/>
        <w:rPr>
          <w:b/>
          <w:sz w:val="22"/>
        </w:rPr>
      </w:pPr>
    </w:p>
    <w:p w:rsidR="001C1946" w:rsidRDefault="001C1946">
      <w:pPr>
        <w:pStyle w:val="Header"/>
        <w:tabs>
          <w:tab w:val="clear" w:pos="4320"/>
          <w:tab w:val="clear" w:pos="8640"/>
        </w:tabs>
        <w:spacing w:after="60"/>
        <w:rPr>
          <w:b/>
          <w:sz w:val="22"/>
        </w:rPr>
      </w:pPr>
      <w:proofErr w:type="gramStart"/>
      <w:r>
        <w:rPr>
          <w:b/>
          <w:sz w:val="22"/>
        </w:rPr>
        <w:t>Table 9.</w:t>
      </w:r>
      <w:proofErr w:type="gramEnd"/>
      <w:r>
        <w:rPr>
          <w:b/>
          <w:sz w:val="22"/>
        </w:rPr>
        <w:t xml:space="preserve"> Percentage Passing TAAS Mathematics, by School Type over Two Years</w:t>
      </w:r>
    </w:p>
    <w:tbl>
      <w:tblPr>
        <w:tblW w:w="82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20"/>
        <w:gridCol w:w="1728"/>
        <w:gridCol w:w="1284"/>
        <w:gridCol w:w="1284"/>
        <w:gridCol w:w="1104"/>
        <w:gridCol w:w="1260"/>
      </w:tblGrid>
      <w:tr w:rsidR="001C1946">
        <w:tblPrEx>
          <w:tblCellMar>
            <w:top w:w="0" w:type="dxa"/>
            <w:bottom w:w="0" w:type="dxa"/>
          </w:tblCellMar>
        </w:tblPrEx>
        <w:trPr>
          <w:cantSplit/>
        </w:trPr>
        <w:tc>
          <w:tcPr>
            <w:tcW w:w="1620" w:type="dxa"/>
            <w:shd w:val="clear" w:color="auto" w:fill="E0E0E0"/>
          </w:tcPr>
          <w:p w:rsidR="001C1946" w:rsidRDefault="001C1946">
            <w:pPr>
              <w:pStyle w:val="Header"/>
              <w:tabs>
                <w:tab w:val="clear" w:pos="4320"/>
                <w:tab w:val="clear" w:pos="8640"/>
              </w:tabs>
              <w:jc w:val="center"/>
              <w:rPr>
                <w:b/>
                <w:sz w:val="22"/>
              </w:rPr>
            </w:pPr>
            <w:r>
              <w:rPr>
                <w:b/>
                <w:sz w:val="22"/>
              </w:rPr>
              <w:t>1998-99</w:t>
            </w:r>
          </w:p>
        </w:tc>
        <w:tc>
          <w:tcPr>
            <w:tcW w:w="1728" w:type="dxa"/>
            <w:shd w:val="clear" w:color="auto" w:fill="E0E0E0"/>
          </w:tcPr>
          <w:p w:rsidR="001C1946" w:rsidRDefault="001C1946">
            <w:pPr>
              <w:pStyle w:val="Header"/>
              <w:tabs>
                <w:tab w:val="clear" w:pos="4320"/>
                <w:tab w:val="clear" w:pos="8640"/>
              </w:tabs>
              <w:jc w:val="center"/>
              <w:rPr>
                <w:b/>
                <w:sz w:val="22"/>
              </w:rPr>
            </w:pPr>
            <w:r>
              <w:rPr>
                <w:b/>
                <w:sz w:val="22"/>
              </w:rPr>
              <w:t>1999-00</w:t>
            </w:r>
          </w:p>
        </w:tc>
        <w:tc>
          <w:tcPr>
            <w:tcW w:w="4932" w:type="dxa"/>
            <w:gridSpan w:val="4"/>
            <w:shd w:val="clear" w:color="auto" w:fill="E0E0E0"/>
          </w:tcPr>
          <w:p w:rsidR="001C1946" w:rsidRDefault="001C1946">
            <w:pPr>
              <w:pStyle w:val="Header"/>
              <w:tabs>
                <w:tab w:val="clear" w:pos="4320"/>
                <w:tab w:val="clear" w:pos="8640"/>
              </w:tabs>
              <w:jc w:val="center"/>
              <w:rPr>
                <w:b/>
                <w:sz w:val="22"/>
              </w:rPr>
            </w:pPr>
            <w:r>
              <w:rPr>
                <w:b/>
                <w:sz w:val="22"/>
              </w:rPr>
              <w:t>Mathematics</w:t>
            </w:r>
          </w:p>
        </w:tc>
      </w:tr>
      <w:tr w:rsidR="001C1946">
        <w:tblPrEx>
          <w:tblCellMar>
            <w:top w:w="0" w:type="dxa"/>
            <w:bottom w:w="0" w:type="dxa"/>
          </w:tblCellMar>
        </w:tblPrEx>
        <w:trPr>
          <w:cantSplit/>
        </w:trPr>
        <w:tc>
          <w:tcPr>
            <w:tcW w:w="3348" w:type="dxa"/>
            <w:gridSpan w:val="2"/>
            <w:shd w:val="clear" w:color="auto" w:fill="E0E0E0"/>
            <w:vAlign w:val="center"/>
          </w:tcPr>
          <w:p w:rsidR="001C1946" w:rsidRDefault="001C1946">
            <w:pPr>
              <w:pStyle w:val="Header"/>
              <w:tabs>
                <w:tab w:val="clear" w:pos="4320"/>
                <w:tab w:val="clear" w:pos="8640"/>
              </w:tabs>
              <w:jc w:val="center"/>
              <w:rPr>
                <w:b/>
                <w:sz w:val="22"/>
              </w:rPr>
            </w:pPr>
            <w:r>
              <w:rPr>
                <w:b/>
                <w:sz w:val="22"/>
              </w:rPr>
              <w:t>75% Rule and Open-</w:t>
            </w:r>
            <w:proofErr w:type="spellStart"/>
            <w:r>
              <w:rPr>
                <w:b/>
                <w:sz w:val="22"/>
              </w:rPr>
              <w:t>Enr</w:t>
            </w:r>
            <w:proofErr w:type="spellEnd"/>
            <w:r>
              <w:rPr>
                <w:b/>
                <w:sz w:val="22"/>
              </w:rPr>
              <w:t xml:space="preserve"> </w:t>
            </w:r>
            <w:r>
              <w:rPr>
                <w:rFonts w:ascii="Courier New" w:hAnsi="Courier New" w:cs="Courier New"/>
                <w:bCs/>
                <w:sz w:val="22"/>
              </w:rPr>
              <w:t xml:space="preserve">≥ </w:t>
            </w:r>
            <w:r>
              <w:rPr>
                <w:b/>
                <w:sz w:val="22"/>
              </w:rPr>
              <w:t>75%</w:t>
            </w:r>
          </w:p>
        </w:tc>
        <w:tc>
          <w:tcPr>
            <w:tcW w:w="1284" w:type="dxa"/>
            <w:shd w:val="clear" w:color="auto" w:fill="E0E0E0"/>
          </w:tcPr>
          <w:p w:rsidR="001C1946" w:rsidRDefault="001C1946">
            <w:pPr>
              <w:pStyle w:val="Header"/>
              <w:tabs>
                <w:tab w:val="clear" w:pos="4320"/>
                <w:tab w:val="clear" w:pos="8640"/>
              </w:tabs>
              <w:jc w:val="center"/>
              <w:rPr>
                <w:b/>
                <w:sz w:val="22"/>
              </w:rPr>
            </w:pPr>
            <w:r>
              <w:rPr>
                <w:b/>
                <w:sz w:val="22"/>
              </w:rPr>
              <w:t>N Students</w:t>
            </w:r>
          </w:p>
        </w:tc>
        <w:tc>
          <w:tcPr>
            <w:tcW w:w="1284" w:type="dxa"/>
            <w:shd w:val="clear" w:color="auto" w:fill="E0E0E0"/>
          </w:tcPr>
          <w:p w:rsidR="001C1946" w:rsidRDefault="001C1946">
            <w:pPr>
              <w:pStyle w:val="Header"/>
              <w:tabs>
                <w:tab w:val="clear" w:pos="4320"/>
                <w:tab w:val="clear" w:pos="8640"/>
              </w:tabs>
              <w:jc w:val="center"/>
              <w:rPr>
                <w:b/>
                <w:sz w:val="22"/>
              </w:rPr>
            </w:pPr>
            <w:r>
              <w:rPr>
                <w:b/>
                <w:sz w:val="22"/>
              </w:rPr>
              <w:t>1999</w:t>
            </w:r>
          </w:p>
        </w:tc>
        <w:tc>
          <w:tcPr>
            <w:tcW w:w="1104" w:type="dxa"/>
            <w:shd w:val="clear" w:color="auto" w:fill="E0E0E0"/>
          </w:tcPr>
          <w:p w:rsidR="001C1946" w:rsidRDefault="001C1946">
            <w:pPr>
              <w:pStyle w:val="Header"/>
              <w:tabs>
                <w:tab w:val="clear" w:pos="4320"/>
                <w:tab w:val="clear" w:pos="8640"/>
              </w:tabs>
              <w:jc w:val="center"/>
              <w:rPr>
                <w:b/>
                <w:sz w:val="22"/>
              </w:rPr>
            </w:pPr>
            <w:r>
              <w:rPr>
                <w:b/>
                <w:sz w:val="22"/>
              </w:rPr>
              <w:t>2000</w:t>
            </w:r>
          </w:p>
        </w:tc>
        <w:tc>
          <w:tcPr>
            <w:tcW w:w="1260" w:type="dxa"/>
            <w:shd w:val="clear" w:color="auto" w:fill="E0E0E0"/>
          </w:tcPr>
          <w:p w:rsidR="001C1946" w:rsidRDefault="001C1946">
            <w:pPr>
              <w:pStyle w:val="Header"/>
              <w:tabs>
                <w:tab w:val="clear" w:pos="4320"/>
                <w:tab w:val="clear" w:pos="8640"/>
              </w:tabs>
              <w:jc w:val="center"/>
              <w:rPr>
                <w:b/>
                <w:sz w:val="22"/>
              </w:rPr>
            </w:pPr>
            <w:r>
              <w:rPr>
                <w:b/>
                <w:sz w:val="22"/>
              </w:rPr>
              <w:t>Difference</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Charter</w:t>
            </w:r>
          </w:p>
        </w:tc>
        <w:tc>
          <w:tcPr>
            <w:tcW w:w="1728" w:type="dxa"/>
          </w:tcPr>
          <w:p w:rsidR="001C1946" w:rsidRDefault="001C1946">
            <w:pPr>
              <w:pStyle w:val="Header"/>
              <w:tabs>
                <w:tab w:val="clear" w:pos="4320"/>
                <w:tab w:val="clear" w:pos="8640"/>
              </w:tabs>
              <w:rPr>
                <w:sz w:val="22"/>
              </w:rPr>
            </w:pPr>
            <w:r>
              <w:rPr>
                <w:sz w:val="22"/>
              </w:rPr>
              <w:t>Charter</w:t>
            </w:r>
          </w:p>
        </w:tc>
        <w:tc>
          <w:tcPr>
            <w:tcW w:w="1284" w:type="dxa"/>
          </w:tcPr>
          <w:p w:rsidR="001C1946" w:rsidRDefault="001C1946">
            <w:pPr>
              <w:pStyle w:val="Header"/>
              <w:tabs>
                <w:tab w:val="clear" w:pos="4320"/>
                <w:tab w:val="clear" w:pos="8640"/>
              </w:tabs>
              <w:ind w:right="294"/>
              <w:jc w:val="right"/>
              <w:rPr>
                <w:sz w:val="22"/>
              </w:rPr>
            </w:pPr>
            <w:r>
              <w:rPr>
                <w:sz w:val="22"/>
              </w:rPr>
              <w:t>409</w:t>
            </w:r>
          </w:p>
        </w:tc>
        <w:tc>
          <w:tcPr>
            <w:tcW w:w="1284" w:type="dxa"/>
          </w:tcPr>
          <w:p w:rsidR="001C1946" w:rsidRDefault="001C1946">
            <w:pPr>
              <w:pStyle w:val="Header"/>
              <w:tabs>
                <w:tab w:val="clear" w:pos="4320"/>
                <w:tab w:val="clear" w:pos="8640"/>
              </w:tabs>
              <w:jc w:val="center"/>
              <w:rPr>
                <w:sz w:val="22"/>
              </w:rPr>
            </w:pPr>
            <w:r>
              <w:rPr>
                <w:sz w:val="22"/>
              </w:rPr>
              <w:t>70.9%</w:t>
            </w:r>
          </w:p>
        </w:tc>
        <w:tc>
          <w:tcPr>
            <w:tcW w:w="1104" w:type="dxa"/>
          </w:tcPr>
          <w:p w:rsidR="001C1946" w:rsidRDefault="001C1946">
            <w:pPr>
              <w:pStyle w:val="Header"/>
              <w:tabs>
                <w:tab w:val="clear" w:pos="4320"/>
                <w:tab w:val="clear" w:pos="8640"/>
              </w:tabs>
              <w:jc w:val="center"/>
              <w:rPr>
                <w:sz w:val="22"/>
              </w:rPr>
            </w:pPr>
            <w:r>
              <w:rPr>
                <w:sz w:val="22"/>
              </w:rPr>
              <w:t>81.4%</w:t>
            </w:r>
          </w:p>
        </w:tc>
        <w:tc>
          <w:tcPr>
            <w:tcW w:w="1260" w:type="dxa"/>
          </w:tcPr>
          <w:p w:rsidR="001C1946" w:rsidRDefault="001C1946">
            <w:pPr>
              <w:pStyle w:val="Header"/>
              <w:tabs>
                <w:tab w:val="clear" w:pos="4320"/>
                <w:tab w:val="clear" w:pos="8640"/>
              </w:tabs>
              <w:ind w:right="360"/>
              <w:jc w:val="right"/>
              <w:rPr>
                <w:sz w:val="22"/>
              </w:rPr>
            </w:pPr>
            <w:r>
              <w:rPr>
                <w:sz w:val="22"/>
              </w:rPr>
              <w:t>10.5</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 xml:space="preserve">Public </w:t>
            </w:r>
          </w:p>
        </w:tc>
        <w:tc>
          <w:tcPr>
            <w:tcW w:w="1728" w:type="dxa"/>
          </w:tcPr>
          <w:p w:rsidR="001C1946" w:rsidRDefault="001C1946">
            <w:pPr>
              <w:pStyle w:val="Header"/>
              <w:tabs>
                <w:tab w:val="clear" w:pos="4320"/>
                <w:tab w:val="clear" w:pos="8640"/>
              </w:tabs>
              <w:rPr>
                <w:sz w:val="22"/>
              </w:rPr>
            </w:pPr>
            <w:r>
              <w:rPr>
                <w:sz w:val="22"/>
              </w:rPr>
              <w:t>Charter</w:t>
            </w:r>
          </w:p>
        </w:tc>
        <w:tc>
          <w:tcPr>
            <w:tcW w:w="1284" w:type="dxa"/>
          </w:tcPr>
          <w:p w:rsidR="001C1946" w:rsidRDefault="001C1946">
            <w:pPr>
              <w:pStyle w:val="Header"/>
              <w:tabs>
                <w:tab w:val="clear" w:pos="4320"/>
                <w:tab w:val="clear" w:pos="8640"/>
              </w:tabs>
              <w:ind w:right="294"/>
              <w:jc w:val="right"/>
              <w:rPr>
                <w:sz w:val="22"/>
              </w:rPr>
            </w:pPr>
            <w:r>
              <w:rPr>
                <w:sz w:val="22"/>
              </w:rPr>
              <w:t>1,033</w:t>
            </w:r>
          </w:p>
        </w:tc>
        <w:tc>
          <w:tcPr>
            <w:tcW w:w="1284" w:type="dxa"/>
          </w:tcPr>
          <w:p w:rsidR="001C1946" w:rsidRDefault="001C1946">
            <w:pPr>
              <w:pStyle w:val="Header"/>
              <w:tabs>
                <w:tab w:val="clear" w:pos="4320"/>
                <w:tab w:val="clear" w:pos="8640"/>
              </w:tabs>
              <w:jc w:val="center"/>
              <w:rPr>
                <w:sz w:val="22"/>
              </w:rPr>
            </w:pPr>
            <w:r>
              <w:rPr>
                <w:sz w:val="22"/>
              </w:rPr>
              <w:t>52.2%</w:t>
            </w:r>
          </w:p>
        </w:tc>
        <w:tc>
          <w:tcPr>
            <w:tcW w:w="1104" w:type="dxa"/>
          </w:tcPr>
          <w:p w:rsidR="001C1946" w:rsidRDefault="001C1946">
            <w:pPr>
              <w:pStyle w:val="Header"/>
              <w:tabs>
                <w:tab w:val="clear" w:pos="4320"/>
                <w:tab w:val="clear" w:pos="8640"/>
              </w:tabs>
              <w:jc w:val="center"/>
              <w:rPr>
                <w:sz w:val="22"/>
              </w:rPr>
            </w:pPr>
            <w:r>
              <w:rPr>
                <w:sz w:val="22"/>
              </w:rPr>
              <w:t>56.7%</w:t>
            </w:r>
          </w:p>
        </w:tc>
        <w:tc>
          <w:tcPr>
            <w:tcW w:w="1260" w:type="dxa"/>
          </w:tcPr>
          <w:p w:rsidR="001C1946" w:rsidRDefault="001C1946">
            <w:pPr>
              <w:pStyle w:val="Header"/>
              <w:tabs>
                <w:tab w:val="clear" w:pos="4320"/>
                <w:tab w:val="clear" w:pos="8640"/>
              </w:tabs>
              <w:ind w:right="360"/>
              <w:jc w:val="right"/>
              <w:rPr>
                <w:sz w:val="22"/>
              </w:rPr>
            </w:pPr>
            <w:r>
              <w:rPr>
                <w:sz w:val="22"/>
              </w:rPr>
              <w:t>4.5</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Charter</w:t>
            </w:r>
          </w:p>
        </w:tc>
        <w:tc>
          <w:tcPr>
            <w:tcW w:w="1728" w:type="dxa"/>
          </w:tcPr>
          <w:p w:rsidR="001C1946" w:rsidRDefault="001C1946">
            <w:pPr>
              <w:pStyle w:val="Header"/>
              <w:tabs>
                <w:tab w:val="clear" w:pos="4320"/>
                <w:tab w:val="clear" w:pos="8640"/>
              </w:tabs>
              <w:rPr>
                <w:sz w:val="22"/>
              </w:rPr>
            </w:pPr>
            <w:r>
              <w:rPr>
                <w:sz w:val="22"/>
              </w:rPr>
              <w:t xml:space="preserve">Public </w:t>
            </w:r>
          </w:p>
        </w:tc>
        <w:tc>
          <w:tcPr>
            <w:tcW w:w="1284" w:type="dxa"/>
          </w:tcPr>
          <w:p w:rsidR="001C1946" w:rsidRDefault="001C1946">
            <w:pPr>
              <w:pStyle w:val="Header"/>
              <w:tabs>
                <w:tab w:val="clear" w:pos="4320"/>
                <w:tab w:val="clear" w:pos="8640"/>
              </w:tabs>
              <w:ind w:right="294"/>
              <w:jc w:val="right"/>
              <w:rPr>
                <w:sz w:val="22"/>
              </w:rPr>
            </w:pPr>
            <w:r>
              <w:rPr>
                <w:sz w:val="22"/>
              </w:rPr>
              <w:t>114</w:t>
            </w:r>
          </w:p>
        </w:tc>
        <w:tc>
          <w:tcPr>
            <w:tcW w:w="1284" w:type="dxa"/>
          </w:tcPr>
          <w:p w:rsidR="001C1946" w:rsidRDefault="001C1946">
            <w:pPr>
              <w:pStyle w:val="Header"/>
              <w:tabs>
                <w:tab w:val="clear" w:pos="4320"/>
                <w:tab w:val="clear" w:pos="8640"/>
              </w:tabs>
              <w:jc w:val="center"/>
              <w:rPr>
                <w:sz w:val="22"/>
              </w:rPr>
            </w:pPr>
            <w:r>
              <w:rPr>
                <w:sz w:val="22"/>
              </w:rPr>
              <w:t>72.8%</w:t>
            </w:r>
          </w:p>
        </w:tc>
        <w:tc>
          <w:tcPr>
            <w:tcW w:w="1104" w:type="dxa"/>
          </w:tcPr>
          <w:p w:rsidR="001C1946" w:rsidRDefault="001C1946">
            <w:pPr>
              <w:pStyle w:val="Header"/>
              <w:tabs>
                <w:tab w:val="clear" w:pos="4320"/>
                <w:tab w:val="clear" w:pos="8640"/>
              </w:tabs>
              <w:jc w:val="center"/>
              <w:rPr>
                <w:sz w:val="22"/>
              </w:rPr>
            </w:pPr>
            <w:r>
              <w:rPr>
                <w:sz w:val="22"/>
              </w:rPr>
              <w:t>80.7%</w:t>
            </w:r>
          </w:p>
        </w:tc>
        <w:tc>
          <w:tcPr>
            <w:tcW w:w="1260" w:type="dxa"/>
          </w:tcPr>
          <w:p w:rsidR="001C1946" w:rsidRDefault="001C1946">
            <w:pPr>
              <w:pStyle w:val="Header"/>
              <w:tabs>
                <w:tab w:val="clear" w:pos="4320"/>
                <w:tab w:val="clear" w:pos="8640"/>
              </w:tabs>
              <w:ind w:right="360"/>
              <w:jc w:val="right"/>
              <w:rPr>
                <w:sz w:val="22"/>
              </w:rPr>
            </w:pPr>
            <w:r>
              <w:rPr>
                <w:sz w:val="22"/>
              </w:rPr>
              <w:t>7.9</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 xml:space="preserve">Public* </w:t>
            </w:r>
          </w:p>
        </w:tc>
        <w:tc>
          <w:tcPr>
            <w:tcW w:w="1728" w:type="dxa"/>
          </w:tcPr>
          <w:p w:rsidR="001C1946" w:rsidRDefault="001C1946">
            <w:pPr>
              <w:pStyle w:val="Header"/>
              <w:tabs>
                <w:tab w:val="clear" w:pos="4320"/>
                <w:tab w:val="clear" w:pos="8640"/>
              </w:tabs>
              <w:rPr>
                <w:sz w:val="22"/>
              </w:rPr>
            </w:pPr>
            <w:r>
              <w:rPr>
                <w:sz w:val="22"/>
              </w:rPr>
              <w:t xml:space="preserve">Public* </w:t>
            </w:r>
          </w:p>
        </w:tc>
        <w:tc>
          <w:tcPr>
            <w:tcW w:w="1284" w:type="dxa"/>
          </w:tcPr>
          <w:p w:rsidR="001C1946" w:rsidRDefault="001C1946">
            <w:pPr>
              <w:pStyle w:val="Header"/>
              <w:tabs>
                <w:tab w:val="clear" w:pos="4320"/>
                <w:tab w:val="clear" w:pos="8640"/>
              </w:tabs>
              <w:ind w:right="294"/>
              <w:jc w:val="right"/>
              <w:rPr>
                <w:sz w:val="22"/>
              </w:rPr>
            </w:pPr>
            <w:r>
              <w:rPr>
                <w:sz w:val="22"/>
              </w:rPr>
              <w:t>25</w:t>
            </w:r>
          </w:p>
        </w:tc>
        <w:tc>
          <w:tcPr>
            <w:tcW w:w="1284" w:type="dxa"/>
          </w:tcPr>
          <w:p w:rsidR="001C1946" w:rsidRDefault="001C1946">
            <w:pPr>
              <w:pStyle w:val="Header"/>
              <w:tabs>
                <w:tab w:val="clear" w:pos="4320"/>
                <w:tab w:val="clear" w:pos="8640"/>
              </w:tabs>
              <w:jc w:val="center"/>
              <w:rPr>
                <w:sz w:val="22"/>
              </w:rPr>
            </w:pPr>
            <w:r>
              <w:rPr>
                <w:sz w:val="22"/>
              </w:rPr>
              <w:t>57.6%</w:t>
            </w:r>
          </w:p>
        </w:tc>
        <w:tc>
          <w:tcPr>
            <w:tcW w:w="1104" w:type="dxa"/>
          </w:tcPr>
          <w:p w:rsidR="001C1946" w:rsidRDefault="001C1946">
            <w:pPr>
              <w:pStyle w:val="Header"/>
              <w:tabs>
                <w:tab w:val="clear" w:pos="4320"/>
                <w:tab w:val="clear" w:pos="8640"/>
              </w:tabs>
              <w:jc w:val="center"/>
              <w:rPr>
                <w:sz w:val="22"/>
              </w:rPr>
            </w:pPr>
            <w:r>
              <w:rPr>
                <w:sz w:val="22"/>
              </w:rPr>
              <w:t>65.3%</w:t>
            </w:r>
          </w:p>
        </w:tc>
        <w:tc>
          <w:tcPr>
            <w:tcW w:w="1260" w:type="dxa"/>
          </w:tcPr>
          <w:p w:rsidR="001C1946" w:rsidRDefault="001C1946">
            <w:pPr>
              <w:pStyle w:val="Header"/>
              <w:tabs>
                <w:tab w:val="clear" w:pos="4320"/>
                <w:tab w:val="clear" w:pos="8640"/>
              </w:tabs>
              <w:ind w:right="360"/>
              <w:jc w:val="right"/>
              <w:rPr>
                <w:sz w:val="22"/>
              </w:rPr>
            </w:pPr>
            <w:r>
              <w:rPr>
                <w:sz w:val="22"/>
              </w:rPr>
              <w:t>7.7</w:t>
            </w:r>
          </w:p>
        </w:tc>
      </w:tr>
      <w:tr w:rsidR="001C1946">
        <w:tblPrEx>
          <w:tblCellMar>
            <w:top w:w="0" w:type="dxa"/>
            <w:bottom w:w="0" w:type="dxa"/>
          </w:tblCellMar>
        </w:tblPrEx>
        <w:trPr>
          <w:cantSplit/>
        </w:trPr>
        <w:tc>
          <w:tcPr>
            <w:tcW w:w="3348" w:type="dxa"/>
            <w:gridSpan w:val="2"/>
            <w:shd w:val="pct10" w:color="auto" w:fill="auto"/>
          </w:tcPr>
          <w:p w:rsidR="001C1946" w:rsidRDefault="001C1946">
            <w:pPr>
              <w:pStyle w:val="Header"/>
              <w:tabs>
                <w:tab w:val="clear" w:pos="4320"/>
                <w:tab w:val="clear" w:pos="8640"/>
              </w:tabs>
              <w:jc w:val="center"/>
              <w:rPr>
                <w:b/>
                <w:sz w:val="22"/>
              </w:rPr>
            </w:pPr>
            <w:r>
              <w:rPr>
                <w:b/>
                <w:sz w:val="22"/>
              </w:rPr>
              <w:t>Open-</w:t>
            </w:r>
            <w:proofErr w:type="spellStart"/>
            <w:r>
              <w:rPr>
                <w:b/>
                <w:sz w:val="22"/>
              </w:rPr>
              <w:t>Enr</w:t>
            </w:r>
            <w:proofErr w:type="spellEnd"/>
            <w:r>
              <w:rPr>
                <w:b/>
                <w:sz w:val="22"/>
              </w:rPr>
              <w:t xml:space="preserve"> &lt; 75%</w:t>
            </w:r>
          </w:p>
        </w:tc>
        <w:tc>
          <w:tcPr>
            <w:tcW w:w="1284" w:type="dxa"/>
            <w:shd w:val="pct10" w:color="auto" w:fill="auto"/>
          </w:tcPr>
          <w:p w:rsidR="001C1946" w:rsidRDefault="001C1946">
            <w:pPr>
              <w:pStyle w:val="Header"/>
              <w:tabs>
                <w:tab w:val="clear" w:pos="4320"/>
                <w:tab w:val="clear" w:pos="8640"/>
              </w:tabs>
              <w:jc w:val="center"/>
              <w:rPr>
                <w:b/>
                <w:sz w:val="22"/>
              </w:rPr>
            </w:pPr>
            <w:r>
              <w:rPr>
                <w:b/>
                <w:sz w:val="22"/>
              </w:rPr>
              <w:t>N Students</w:t>
            </w:r>
          </w:p>
        </w:tc>
        <w:tc>
          <w:tcPr>
            <w:tcW w:w="1284" w:type="dxa"/>
            <w:shd w:val="pct10" w:color="auto" w:fill="auto"/>
          </w:tcPr>
          <w:p w:rsidR="001C1946" w:rsidRDefault="001C1946">
            <w:pPr>
              <w:pStyle w:val="Header"/>
              <w:tabs>
                <w:tab w:val="clear" w:pos="4320"/>
                <w:tab w:val="clear" w:pos="8640"/>
              </w:tabs>
              <w:jc w:val="center"/>
              <w:rPr>
                <w:b/>
                <w:sz w:val="22"/>
              </w:rPr>
            </w:pPr>
            <w:r>
              <w:rPr>
                <w:b/>
                <w:sz w:val="22"/>
              </w:rPr>
              <w:t>1999</w:t>
            </w:r>
          </w:p>
        </w:tc>
        <w:tc>
          <w:tcPr>
            <w:tcW w:w="1104" w:type="dxa"/>
            <w:shd w:val="pct10" w:color="auto" w:fill="auto"/>
          </w:tcPr>
          <w:p w:rsidR="001C1946" w:rsidRDefault="001C1946">
            <w:pPr>
              <w:pStyle w:val="Header"/>
              <w:tabs>
                <w:tab w:val="clear" w:pos="4320"/>
                <w:tab w:val="clear" w:pos="8640"/>
              </w:tabs>
              <w:jc w:val="center"/>
              <w:rPr>
                <w:b/>
                <w:sz w:val="22"/>
              </w:rPr>
            </w:pPr>
            <w:r>
              <w:rPr>
                <w:b/>
                <w:sz w:val="22"/>
              </w:rPr>
              <w:t>2000</w:t>
            </w:r>
          </w:p>
        </w:tc>
        <w:tc>
          <w:tcPr>
            <w:tcW w:w="1260" w:type="dxa"/>
            <w:shd w:val="pct10" w:color="auto" w:fill="auto"/>
          </w:tcPr>
          <w:p w:rsidR="001C1946" w:rsidRDefault="001C1946">
            <w:pPr>
              <w:pStyle w:val="Header"/>
              <w:tabs>
                <w:tab w:val="clear" w:pos="4320"/>
                <w:tab w:val="clear" w:pos="8640"/>
              </w:tabs>
              <w:jc w:val="center"/>
              <w:rPr>
                <w:b/>
                <w:sz w:val="22"/>
              </w:rPr>
            </w:pPr>
            <w:r>
              <w:rPr>
                <w:b/>
                <w:sz w:val="22"/>
              </w:rPr>
              <w:t>Difference</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Charter</w:t>
            </w:r>
          </w:p>
        </w:tc>
        <w:tc>
          <w:tcPr>
            <w:tcW w:w="1728" w:type="dxa"/>
          </w:tcPr>
          <w:p w:rsidR="001C1946" w:rsidRDefault="001C1946">
            <w:pPr>
              <w:pStyle w:val="Header"/>
              <w:tabs>
                <w:tab w:val="clear" w:pos="4320"/>
                <w:tab w:val="clear" w:pos="8640"/>
              </w:tabs>
              <w:rPr>
                <w:sz w:val="22"/>
              </w:rPr>
            </w:pPr>
            <w:r>
              <w:rPr>
                <w:sz w:val="22"/>
              </w:rPr>
              <w:t>Charter</w:t>
            </w:r>
          </w:p>
        </w:tc>
        <w:tc>
          <w:tcPr>
            <w:tcW w:w="1284" w:type="dxa"/>
          </w:tcPr>
          <w:p w:rsidR="001C1946" w:rsidRDefault="001C1946">
            <w:pPr>
              <w:pStyle w:val="Header"/>
              <w:tabs>
                <w:tab w:val="clear" w:pos="4320"/>
                <w:tab w:val="clear" w:pos="8640"/>
              </w:tabs>
              <w:ind w:right="294"/>
              <w:jc w:val="right"/>
              <w:rPr>
                <w:sz w:val="22"/>
              </w:rPr>
            </w:pPr>
            <w:r>
              <w:rPr>
                <w:sz w:val="22"/>
              </w:rPr>
              <w:t>1,288</w:t>
            </w:r>
          </w:p>
        </w:tc>
        <w:tc>
          <w:tcPr>
            <w:tcW w:w="1284" w:type="dxa"/>
          </w:tcPr>
          <w:p w:rsidR="001C1946" w:rsidRDefault="001C1946">
            <w:pPr>
              <w:pStyle w:val="Header"/>
              <w:tabs>
                <w:tab w:val="clear" w:pos="4320"/>
                <w:tab w:val="clear" w:pos="8640"/>
              </w:tabs>
              <w:jc w:val="center"/>
              <w:rPr>
                <w:sz w:val="22"/>
              </w:rPr>
            </w:pPr>
            <w:r>
              <w:rPr>
                <w:sz w:val="22"/>
              </w:rPr>
              <w:t>62.2%</w:t>
            </w:r>
          </w:p>
        </w:tc>
        <w:tc>
          <w:tcPr>
            <w:tcW w:w="1104" w:type="dxa"/>
          </w:tcPr>
          <w:p w:rsidR="001C1946" w:rsidRDefault="001C1946">
            <w:pPr>
              <w:pStyle w:val="Header"/>
              <w:tabs>
                <w:tab w:val="clear" w:pos="4320"/>
                <w:tab w:val="clear" w:pos="8640"/>
              </w:tabs>
              <w:jc w:val="center"/>
              <w:rPr>
                <w:sz w:val="22"/>
              </w:rPr>
            </w:pPr>
            <w:r>
              <w:rPr>
                <w:sz w:val="22"/>
              </w:rPr>
              <w:t>71.3%</w:t>
            </w:r>
          </w:p>
        </w:tc>
        <w:tc>
          <w:tcPr>
            <w:tcW w:w="1260" w:type="dxa"/>
          </w:tcPr>
          <w:p w:rsidR="001C1946" w:rsidRDefault="001C1946">
            <w:pPr>
              <w:pStyle w:val="Header"/>
              <w:tabs>
                <w:tab w:val="clear" w:pos="4320"/>
                <w:tab w:val="clear" w:pos="8640"/>
              </w:tabs>
              <w:ind w:right="360"/>
              <w:jc w:val="right"/>
              <w:rPr>
                <w:sz w:val="22"/>
              </w:rPr>
            </w:pPr>
            <w:r>
              <w:rPr>
                <w:sz w:val="22"/>
              </w:rPr>
              <w:t>9.1</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 xml:space="preserve">Public </w:t>
            </w:r>
          </w:p>
        </w:tc>
        <w:tc>
          <w:tcPr>
            <w:tcW w:w="1728" w:type="dxa"/>
          </w:tcPr>
          <w:p w:rsidR="001C1946" w:rsidRDefault="001C1946">
            <w:pPr>
              <w:pStyle w:val="Header"/>
              <w:tabs>
                <w:tab w:val="clear" w:pos="4320"/>
                <w:tab w:val="clear" w:pos="8640"/>
              </w:tabs>
              <w:rPr>
                <w:sz w:val="22"/>
              </w:rPr>
            </w:pPr>
            <w:r>
              <w:rPr>
                <w:sz w:val="22"/>
              </w:rPr>
              <w:t>Charter</w:t>
            </w:r>
          </w:p>
        </w:tc>
        <w:tc>
          <w:tcPr>
            <w:tcW w:w="1284" w:type="dxa"/>
          </w:tcPr>
          <w:p w:rsidR="001C1946" w:rsidRDefault="001C1946">
            <w:pPr>
              <w:pStyle w:val="Header"/>
              <w:tabs>
                <w:tab w:val="clear" w:pos="4320"/>
                <w:tab w:val="clear" w:pos="8640"/>
              </w:tabs>
              <w:ind w:right="294"/>
              <w:jc w:val="right"/>
              <w:rPr>
                <w:sz w:val="22"/>
              </w:rPr>
            </w:pPr>
            <w:r>
              <w:rPr>
                <w:sz w:val="22"/>
              </w:rPr>
              <w:t>1,786</w:t>
            </w:r>
          </w:p>
        </w:tc>
        <w:tc>
          <w:tcPr>
            <w:tcW w:w="1284" w:type="dxa"/>
          </w:tcPr>
          <w:p w:rsidR="001C1946" w:rsidRDefault="001C1946">
            <w:pPr>
              <w:pStyle w:val="Header"/>
              <w:tabs>
                <w:tab w:val="clear" w:pos="4320"/>
                <w:tab w:val="clear" w:pos="8640"/>
              </w:tabs>
              <w:jc w:val="center"/>
              <w:rPr>
                <w:sz w:val="22"/>
              </w:rPr>
            </w:pPr>
            <w:r>
              <w:rPr>
                <w:sz w:val="22"/>
              </w:rPr>
              <w:t>70.1%</w:t>
            </w:r>
          </w:p>
        </w:tc>
        <w:tc>
          <w:tcPr>
            <w:tcW w:w="1104" w:type="dxa"/>
          </w:tcPr>
          <w:p w:rsidR="001C1946" w:rsidRDefault="001C1946">
            <w:pPr>
              <w:pStyle w:val="Header"/>
              <w:tabs>
                <w:tab w:val="clear" w:pos="4320"/>
                <w:tab w:val="clear" w:pos="8640"/>
              </w:tabs>
              <w:jc w:val="center"/>
              <w:rPr>
                <w:sz w:val="22"/>
              </w:rPr>
            </w:pPr>
            <w:r>
              <w:rPr>
                <w:sz w:val="22"/>
              </w:rPr>
              <w:t>69.6%</w:t>
            </w:r>
          </w:p>
        </w:tc>
        <w:tc>
          <w:tcPr>
            <w:tcW w:w="1260" w:type="dxa"/>
          </w:tcPr>
          <w:p w:rsidR="001C1946" w:rsidRDefault="001C1946">
            <w:pPr>
              <w:pStyle w:val="Header"/>
              <w:tabs>
                <w:tab w:val="clear" w:pos="4320"/>
                <w:tab w:val="clear" w:pos="8640"/>
              </w:tabs>
              <w:ind w:right="360"/>
              <w:jc w:val="right"/>
              <w:rPr>
                <w:sz w:val="22"/>
              </w:rPr>
            </w:pPr>
            <w:r>
              <w:rPr>
                <w:sz w:val="22"/>
              </w:rPr>
              <w:t>-0.5</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Charter</w:t>
            </w:r>
          </w:p>
        </w:tc>
        <w:tc>
          <w:tcPr>
            <w:tcW w:w="1728" w:type="dxa"/>
          </w:tcPr>
          <w:p w:rsidR="001C1946" w:rsidRDefault="001C1946">
            <w:pPr>
              <w:pStyle w:val="Header"/>
              <w:tabs>
                <w:tab w:val="clear" w:pos="4320"/>
                <w:tab w:val="clear" w:pos="8640"/>
              </w:tabs>
              <w:rPr>
                <w:sz w:val="22"/>
              </w:rPr>
            </w:pPr>
            <w:r>
              <w:rPr>
                <w:sz w:val="22"/>
              </w:rPr>
              <w:t>Public</w:t>
            </w:r>
          </w:p>
        </w:tc>
        <w:tc>
          <w:tcPr>
            <w:tcW w:w="1284" w:type="dxa"/>
          </w:tcPr>
          <w:p w:rsidR="001C1946" w:rsidRDefault="001C1946">
            <w:pPr>
              <w:pStyle w:val="Header"/>
              <w:tabs>
                <w:tab w:val="clear" w:pos="4320"/>
                <w:tab w:val="clear" w:pos="8640"/>
              </w:tabs>
              <w:ind w:right="294"/>
              <w:jc w:val="right"/>
              <w:rPr>
                <w:sz w:val="22"/>
              </w:rPr>
            </w:pPr>
            <w:r>
              <w:rPr>
                <w:sz w:val="22"/>
              </w:rPr>
              <w:t>472</w:t>
            </w:r>
          </w:p>
        </w:tc>
        <w:tc>
          <w:tcPr>
            <w:tcW w:w="1284" w:type="dxa"/>
          </w:tcPr>
          <w:p w:rsidR="001C1946" w:rsidRDefault="001C1946">
            <w:pPr>
              <w:pStyle w:val="Header"/>
              <w:tabs>
                <w:tab w:val="clear" w:pos="4320"/>
                <w:tab w:val="clear" w:pos="8640"/>
              </w:tabs>
              <w:jc w:val="center"/>
              <w:rPr>
                <w:sz w:val="22"/>
              </w:rPr>
            </w:pPr>
            <w:r>
              <w:rPr>
                <w:sz w:val="22"/>
              </w:rPr>
              <w:t>67.3%</w:t>
            </w:r>
          </w:p>
        </w:tc>
        <w:tc>
          <w:tcPr>
            <w:tcW w:w="1104" w:type="dxa"/>
          </w:tcPr>
          <w:p w:rsidR="001C1946" w:rsidRDefault="001C1946">
            <w:pPr>
              <w:pStyle w:val="Header"/>
              <w:tabs>
                <w:tab w:val="clear" w:pos="4320"/>
                <w:tab w:val="clear" w:pos="8640"/>
              </w:tabs>
              <w:jc w:val="center"/>
              <w:rPr>
                <w:sz w:val="22"/>
              </w:rPr>
            </w:pPr>
            <w:r>
              <w:rPr>
                <w:sz w:val="22"/>
              </w:rPr>
              <w:t>82.8%</w:t>
            </w:r>
          </w:p>
        </w:tc>
        <w:tc>
          <w:tcPr>
            <w:tcW w:w="1260" w:type="dxa"/>
          </w:tcPr>
          <w:p w:rsidR="001C1946" w:rsidRDefault="001C1946">
            <w:pPr>
              <w:pStyle w:val="Header"/>
              <w:tabs>
                <w:tab w:val="clear" w:pos="4320"/>
                <w:tab w:val="clear" w:pos="8640"/>
              </w:tabs>
              <w:ind w:right="360"/>
              <w:jc w:val="right"/>
              <w:rPr>
                <w:sz w:val="22"/>
              </w:rPr>
            </w:pPr>
            <w:r>
              <w:rPr>
                <w:sz w:val="22"/>
              </w:rPr>
              <w:t>15.5</w:t>
            </w:r>
          </w:p>
        </w:tc>
      </w:tr>
      <w:tr w:rsidR="001C1946">
        <w:tblPrEx>
          <w:tblCellMar>
            <w:top w:w="0" w:type="dxa"/>
            <w:bottom w:w="0" w:type="dxa"/>
          </w:tblCellMar>
        </w:tblPrEx>
        <w:trPr>
          <w:cantSplit/>
        </w:trPr>
        <w:tc>
          <w:tcPr>
            <w:tcW w:w="1620" w:type="dxa"/>
          </w:tcPr>
          <w:p w:rsidR="001C1946" w:rsidRDefault="001C1946">
            <w:pPr>
              <w:pStyle w:val="Header"/>
              <w:tabs>
                <w:tab w:val="clear" w:pos="4320"/>
                <w:tab w:val="clear" w:pos="8640"/>
              </w:tabs>
              <w:rPr>
                <w:sz w:val="22"/>
              </w:rPr>
            </w:pPr>
            <w:r>
              <w:rPr>
                <w:sz w:val="22"/>
              </w:rPr>
              <w:t>Public*</w:t>
            </w:r>
          </w:p>
        </w:tc>
        <w:tc>
          <w:tcPr>
            <w:tcW w:w="1728" w:type="dxa"/>
          </w:tcPr>
          <w:p w:rsidR="001C1946" w:rsidRDefault="001C1946">
            <w:pPr>
              <w:pStyle w:val="Header"/>
              <w:tabs>
                <w:tab w:val="clear" w:pos="4320"/>
                <w:tab w:val="clear" w:pos="8640"/>
              </w:tabs>
              <w:rPr>
                <w:sz w:val="22"/>
              </w:rPr>
            </w:pPr>
            <w:r>
              <w:rPr>
                <w:sz w:val="22"/>
              </w:rPr>
              <w:t>Public*</w:t>
            </w:r>
          </w:p>
        </w:tc>
        <w:tc>
          <w:tcPr>
            <w:tcW w:w="1284" w:type="dxa"/>
          </w:tcPr>
          <w:p w:rsidR="001C1946" w:rsidRDefault="001C1946">
            <w:pPr>
              <w:pStyle w:val="Header"/>
              <w:tabs>
                <w:tab w:val="clear" w:pos="4320"/>
                <w:tab w:val="clear" w:pos="8640"/>
              </w:tabs>
              <w:ind w:right="294"/>
              <w:jc w:val="right"/>
              <w:rPr>
                <w:sz w:val="22"/>
              </w:rPr>
            </w:pPr>
            <w:r>
              <w:rPr>
                <w:sz w:val="22"/>
              </w:rPr>
              <w:t>87</w:t>
            </w:r>
          </w:p>
        </w:tc>
        <w:tc>
          <w:tcPr>
            <w:tcW w:w="1284" w:type="dxa"/>
          </w:tcPr>
          <w:p w:rsidR="001C1946" w:rsidRDefault="001C1946">
            <w:pPr>
              <w:pStyle w:val="Header"/>
              <w:tabs>
                <w:tab w:val="clear" w:pos="4320"/>
                <w:tab w:val="clear" w:pos="8640"/>
              </w:tabs>
              <w:jc w:val="center"/>
              <w:rPr>
                <w:sz w:val="22"/>
              </w:rPr>
            </w:pPr>
            <w:r>
              <w:rPr>
                <w:sz w:val="22"/>
              </w:rPr>
              <w:t>70.3%</w:t>
            </w:r>
          </w:p>
        </w:tc>
        <w:tc>
          <w:tcPr>
            <w:tcW w:w="1104" w:type="dxa"/>
          </w:tcPr>
          <w:p w:rsidR="001C1946" w:rsidRDefault="001C1946">
            <w:pPr>
              <w:pStyle w:val="Header"/>
              <w:tabs>
                <w:tab w:val="clear" w:pos="4320"/>
                <w:tab w:val="clear" w:pos="8640"/>
              </w:tabs>
              <w:jc w:val="center"/>
              <w:rPr>
                <w:sz w:val="22"/>
              </w:rPr>
            </w:pPr>
            <w:r>
              <w:rPr>
                <w:sz w:val="22"/>
              </w:rPr>
              <w:t>84.6%</w:t>
            </w:r>
          </w:p>
        </w:tc>
        <w:tc>
          <w:tcPr>
            <w:tcW w:w="1260" w:type="dxa"/>
          </w:tcPr>
          <w:p w:rsidR="001C1946" w:rsidRDefault="001C1946">
            <w:pPr>
              <w:pStyle w:val="Header"/>
              <w:tabs>
                <w:tab w:val="clear" w:pos="4320"/>
                <w:tab w:val="clear" w:pos="8640"/>
              </w:tabs>
              <w:ind w:right="360"/>
              <w:jc w:val="right"/>
              <w:rPr>
                <w:sz w:val="22"/>
              </w:rPr>
            </w:pPr>
            <w:r>
              <w:rPr>
                <w:sz w:val="22"/>
              </w:rPr>
              <w:t>14.3</w:t>
            </w:r>
          </w:p>
        </w:tc>
      </w:tr>
    </w:tbl>
    <w:p w:rsidR="001C1946" w:rsidRDefault="001C1946">
      <w:pPr>
        <w:pStyle w:val="Header"/>
        <w:tabs>
          <w:tab w:val="clear" w:pos="4320"/>
          <w:tab w:val="clear" w:pos="8640"/>
        </w:tabs>
        <w:rPr>
          <w:iCs/>
        </w:rPr>
      </w:pPr>
      <w:r>
        <w:rPr>
          <w:iCs/>
          <w:sz w:val="18"/>
        </w:rPr>
        <w:t>* Students in traditional public schools who attended charter schools some time between 1996-97 and 1999-00</w:t>
      </w:r>
      <w:r>
        <w:rPr>
          <w:iCs/>
        </w:rPr>
        <w:t>.</w:t>
      </w:r>
    </w:p>
    <w:p w:rsidR="001C1946" w:rsidRDefault="001C1946">
      <w:pPr>
        <w:pStyle w:val="Header"/>
        <w:tabs>
          <w:tab w:val="clear" w:pos="4320"/>
          <w:tab w:val="clear" w:pos="8640"/>
        </w:tabs>
        <w:rPr>
          <w:iCs/>
        </w:rPr>
      </w:pPr>
    </w:p>
    <w:p w:rsidR="001C1946" w:rsidRDefault="001C1946">
      <w:pPr>
        <w:pStyle w:val="Heading3"/>
        <w:keepNext w:val="0"/>
        <w:spacing w:after="120"/>
        <w:rPr>
          <w:u w:val="none"/>
        </w:rPr>
      </w:pPr>
      <w:r>
        <w:rPr>
          <w:u w:val="none"/>
        </w:rPr>
        <w:t>Analyses for students with matched scores revealed these student performance trends:</w:t>
      </w:r>
    </w:p>
    <w:p w:rsidR="001C1946" w:rsidRDefault="001C1946">
      <w:pPr>
        <w:pStyle w:val="Heading3"/>
        <w:keepNext w:val="0"/>
        <w:numPr>
          <w:ilvl w:val="0"/>
          <w:numId w:val="10"/>
        </w:numPr>
        <w:spacing w:after="120"/>
        <w:rPr>
          <w:u w:val="none"/>
        </w:rPr>
      </w:pPr>
      <w:r>
        <w:rPr>
          <w:i/>
          <w:iCs/>
          <w:u w:val="none"/>
        </w:rPr>
        <w:t>Continuous student enrollment in schools makes a difference</w:t>
      </w:r>
      <w:r>
        <w:rPr>
          <w:u w:val="none"/>
        </w:rPr>
        <w:t>. Students who remained in charter schools for two years showed positive academic gains in reading and mathematics (about 7 to 12 percentage points). Likewise, students formerly in charter schools who were enrolled for two years in traditional public schools had positive reading and mathematics gains (about 8 to 16 percentage points).</w:t>
      </w:r>
    </w:p>
    <w:p w:rsidR="001C1946" w:rsidRDefault="001C1946">
      <w:pPr>
        <w:pStyle w:val="Heading3"/>
        <w:keepNext w:val="0"/>
        <w:numPr>
          <w:ilvl w:val="0"/>
          <w:numId w:val="10"/>
        </w:numPr>
        <w:spacing w:after="120"/>
        <w:rPr>
          <w:u w:val="none"/>
        </w:rPr>
      </w:pPr>
      <w:r>
        <w:rPr>
          <w:i/>
          <w:iCs/>
          <w:u w:val="none"/>
        </w:rPr>
        <w:t>Students who stayed in charter schools serving primarily at-risk students had high academic performance compared to other groups.</w:t>
      </w:r>
      <w:r>
        <w:rPr>
          <w:u w:val="none"/>
        </w:rPr>
        <w:t xml:space="preserve"> Students who remained in charter schools serving primarily at-risk students for two years had high passing rates (71 to 89 percent) and strong academic gains in TAAS reading and mathematics (11 to 12 percentage points).</w:t>
      </w:r>
    </w:p>
    <w:p w:rsidR="001C1946" w:rsidRDefault="001C1946">
      <w:pPr>
        <w:numPr>
          <w:ilvl w:val="0"/>
          <w:numId w:val="10"/>
        </w:numPr>
        <w:spacing w:after="120"/>
        <w:rPr>
          <w:sz w:val="24"/>
        </w:rPr>
      </w:pPr>
      <w:r>
        <w:rPr>
          <w:i/>
          <w:iCs/>
          <w:sz w:val="24"/>
        </w:rPr>
        <w:t>Students who moved from traditional public schools to charter schools had small achievement changes</w:t>
      </w:r>
      <w:r>
        <w:rPr>
          <w:sz w:val="24"/>
        </w:rPr>
        <w:t>. Students who moved from traditional public schools to charter schools had small losses in percentage passing rates (less than one percentage point) in reading and mixed results for mathematics by school type.</w:t>
      </w:r>
    </w:p>
    <w:p w:rsidR="001C1946" w:rsidRDefault="001C1946">
      <w:pPr>
        <w:pStyle w:val="Heading7"/>
        <w:keepNext w:val="0"/>
        <w:numPr>
          <w:ilvl w:val="0"/>
          <w:numId w:val="10"/>
        </w:numPr>
        <w:spacing w:after="120"/>
      </w:pPr>
      <w:r>
        <w:lastRenderedPageBreak/>
        <w:t>Students who moved from charter schools to traditional public schools had strong achievement gains</w:t>
      </w:r>
      <w:r>
        <w:rPr>
          <w:i w:val="0"/>
          <w:iCs w:val="0"/>
        </w:rPr>
        <w:t>. Students formerly in charter schools showed strong gains for TAAS reading (5 to 6 percentage points) and mathematics (8 to 16 percentage points) after returning to traditional public schools.</w:t>
      </w:r>
    </w:p>
    <w:p w:rsidR="001C1946" w:rsidRDefault="001C1946">
      <w:pPr>
        <w:pStyle w:val="Header"/>
        <w:numPr>
          <w:ilvl w:val="0"/>
          <w:numId w:val="11"/>
        </w:numPr>
        <w:tabs>
          <w:tab w:val="clear" w:pos="4320"/>
          <w:tab w:val="clear" w:pos="8640"/>
        </w:tabs>
        <w:rPr>
          <w:u w:val="single"/>
        </w:rPr>
      </w:pPr>
      <w:r>
        <w:rPr>
          <w:i/>
          <w:iCs/>
        </w:rPr>
        <w:t>Students remaining in charter schools for three years demonstrate increasing levels of academic performance</w:t>
      </w:r>
      <w:r>
        <w:t xml:space="preserve">. Data for an </w:t>
      </w:r>
      <w:r>
        <w:rPr>
          <w:i/>
          <w:iCs/>
        </w:rPr>
        <w:t>additional</w:t>
      </w:r>
      <w:r>
        <w:t xml:space="preserve"> limited sample of students enrolled in charter schools serving less than 75 percent at-risk students for three years showed increasing TAAS passing percentages for reading (78%, 81%, 88%) and mathematics (73%, 76%, 87%).</w:t>
      </w:r>
    </w:p>
    <w:p w:rsidR="001C1946" w:rsidRDefault="001C1946">
      <w:pPr>
        <w:pStyle w:val="Header"/>
        <w:tabs>
          <w:tab w:val="clear" w:pos="4320"/>
          <w:tab w:val="clear" w:pos="8640"/>
        </w:tabs>
      </w:pPr>
    </w:p>
    <w:p w:rsidR="001C1946" w:rsidRDefault="001C1946">
      <w:pPr>
        <w:pStyle w:val="Heading2"/>
        <w:rPr>
          <w:i/>
          <w:iCs/>
        </w:rPr>
      </w:pPr>
      <w:r>
        <w:rPr>
          <w:i/>
          <w:iCs/>
        </w:rPr>
        <w:t>Student Satisfaction with Charter Schools</w:t>
      </w:r>
    </w:p>
    <w:p w:rsidR="001C1946" w:rsidRDefault="001C1946">
      <w:pPr>
        <w:rPr>
          <w:sz w:val="24"/>
        </w:rPr>
      </w:pPr>
    </w:p>
    <w:p w:rsidR="001C1946" w:rsidRDefault="001C1946">
      <w:pPr>
        <w:rPr>
          <w:sz w:val="24"/>
        </w:rPr>
      </w:pPr>
      <w:proofErr w:type="gramStart"/>
      <w:r>
        <w:rPr>
          <w:sz w:val="24"/>
          <w:u w:val="single"/>
        </w:rPr>
        <w:t>Satisfaction with charter school</w:t>
      </w:r>
      <w:r>
        <w:rPr>
          <w:sz w:val="24"/>
        </w:rPr>
        <w:t>.</w:t>
      </w:r>
      <w:proofErr w:type="gramEnd"/>
      <w:r>
        <w:rPr>
          <w:sz w:val="24"/>
        </w:rPr>
        <w:t xml:space="preserve"> Charter schools receive strong support from their students, with the majority either satisfied or very satisfied with their schools. Among those students eligible, a majority intends to return to their charter schools. The level of satisfaction, however, varies by school type. Students attending general open-enrollment schools tend to be more satisfied than students in 75 Percent Rule charter schools, and students in 75 Percent Rule charter schools are much less likely to report that they intend to return to the schools (about 25% compared to 50% in other charter schools).</w:t>
      </w:r>
    </w:p>
    <w:p w:rsidR="001C1946" w:rsidRDefault="001C1946">
      <w:pPr>
        <w:rPr>
          <w:sz w:val="24"/>
        </w:rPr>
      </w:pPr>
    </w:p>
    <w:p w:rsidR="001C1946" w:rsidRDefault="001C1946">
      <w:pPr>
        <w:rPr>
          <w:sz w:val="24"/>
        </w:rPr>
      </w:pPr>
      <w:r>
        <w:rPr>
          <w:sz w:val="24"/>
        </w:rPr>
        <w:t>The majority of students believe their charter school is better than their previous schools because it has teachers who care about students (61%), good teachers overall (60%), and smaller classes (60%). Students also report that the charter teachers give more personal attention to students (68%). Smaller percentages of students cite limitations relative to class offerings, location, and order in classrooms (9% to 30%).</w:t>
      </w:r>
    </w:p>
    <w:p w:rsidR="001C1946" w:rsidRDefault="001C1946">
      <w:pPr>
        <w:rPr>
          <w:sz w:val="24"/>
        </w:rPr>
      </w:pPr>
    </w:p>
    <w:p w:rsidR="001C1946" w:rsidRDefault="001C1946">
      <w:pPr>
        <w:rPr>
          <w:sz w:val="24"/>
        </w:rPr>
      </w:pPr>
      <w:r>
        <w:rPr>
          <w:sz w:val="24"/>
          <w:u w:val="single"/>
        </w:rPr>
        <w:t>Reasons students choose charter schools</w:t>
      </w:r>
      <w:r>
        <w:rPr>
          <w:sz w:val="24"/>
        </w:rPr>
        <w:t xml:space="preserve">. The most important reason students choose to attend charter schools is because the school fits their specific academic needs (more than 75% said very important or important). Also of great importance to students was more attention from their charter school teachers and the belief that the charter school has better teachers (about 66% said very important or important)—however, students in 75 Percent Rule charter schools place less importance on teacher support. </w:t>
      </w:r>
    </w:p>
    <w:p w:rsidR="001C1946" w:rsidRDefault="001C1946">
      <w:pPr>
        <w:rPr>
          <w:sz w:val="24"/>
        </w:rPr>
      </w:pPr>
    </w:p>
    <w:p w:rsidR="001C1946" w:rsidRDefault="001C1946">
      <w:pPr>
        <w:rPr>
          <w:sz w:val="24"/>
        </w:rPr>
      </w:pPr>
      <w:proofErr w:type="gramStart"/>
      <w:r>
        <w:rPr>
          <w:sz w:val="24"/>
          <w:u w:val="single"/>
        </w:rPr>
        <w:t>Educational aspirations</w:t>
      </w:r>
      <w:r>
        <w:rPr>
          <w:sz w:val="24"/>
        </w:rPr>
        <w:t>.</w:t>
      </w:r>
      <w:proofErr w:type="gramEnd"/>
      <w:r>
        <w:rPr>
          <w:sz w:val="24"/>
        </w:rPr>
        <w:t xml:space="preserve"> Charter school students continue to have high post-graduation aspirations. In 1999-00, for the first time, close to half of students expressed an intention to attend a four-year college. In past years, about 25% of students anticipated attending a four-year college, with an equal number planning on enrolling in a community college. Also, in 1999-00, only about 12% of students plan on going directly into the workforce compared to 20% in previous years. To some extent, however, post-graduate expectations may be accounted for by the younger students included in the 1999-00 sample.</w:t>
      </w:r>
    </w:p>
    <w:p w:rsidR="001C1946" w:rsidRDefault="001C1946">
      <w:pPr>
        <w:jc w:val="center"/>
        <w:rPr>
          <w:b/>
          <w:bCs/>
          <w:sz w:val="24"/>
        </w:rPr>
      </w:pPr>
    </w:p>
    <w:p w:rsidR="001C1946" w:rsidRDefault="001C1946">
      <w:pPr>
        <w:rPr>
          <w:sz w:val="24"/>
        </w:rPr>
      </w:pPr>
      <w:proofErr w:type="gramStart"/>
      <w:r>
        <w:rPr>
          <w:sz w:val="24"/>
          <w:u w:val="single"/>
        </w:rPr>
        <w:t>Satisfaction over time</w:t>
      </w:r>
      <w:r>
        <w:rPr>
          <w:sz w:val="24"/>
        </w:rPr>
        <w:t>.</w:t>
      </w:r>
      <w:proofErr w:type="gramEnd"/>
      <w:r>
        <w:rPr>
          <w:sz w:val="24"/>
        </w:rPr>
        <w:t xml:space="preserve"> Students remain satisfied with their charter schools, with satisfaction ratings relatively high throughout the four years of the study. Nearly 40% of students were very satisfied across </w:t>
      </w:r>
      <w:proofErr w:type="gramStart"/>
      <w:r>
        <w:rPr>
          <w:sz w:val="24"/>
        </w:rPr>
        <w:t>years,</w:t>
      </w:r>
      <w:proofErr w:type="gramEnd"/>
      <w:r>
        <w:rPr>
          <w:sz w:val="24"/>
        </w:rPr>
        <w:t xml:space="preserve"> and the grades that students gave their charter schools have remained consistently high, with the overwhelming majority giving a grade of either A or B. Furthermore, </w:t>
      </w:r>
      <w:r>
        <w:rPr>
          <w:sz w:val="24"/>
        </w:rPr>
        <w:lastRenderedPageBreak/>
        <w:t>more than half of the non-graduating students expect to return to the charter school, and this percentage has remained constant over time.</w:t>
      </w:r>
    </w:p>
    <w:p w:rsidR="001C1946" w:rsidRDefault="001C1946">
      <w:pPr>
        <w:rPr>
          <w:sz w:val="24"/>
        </w:rPr>
      </w:pPr>
    </w:p>
    <w:p w:rsidR="001C1946" w:rsidRDefault="001C1946">
      <w:pPr>
        <w:rPr>
          <w:sz w:val="24"/>
        </w:rPr>
      </w:pPr>
      <w:r>
        <w:rPr>
          <w:sz w:val="24"/>
        </w:rPr>
        <w:t xml:space="preserve">Overall, the most satisfied students appear to be those attending charter schools with primarily at-risk students, while the least satisfied students appear to be those attending 75 Percent Rule charter schools. </w:t>
      </w:r>
    </w:p>
    <w:p w:rsidR="001C1946" w:rsidRDefault="001C1946">
      <w:pPr>
        <w:pStyle w:val="Header"/>
        <w:tabs>
          <w:tab w:val="clear" w:pos="4320"/>
          <w:tab w:val="clear" w:pos="8640"/>
        </w:tabs>
        <w:rPr>
          <w:szCs w:val="24"/>
        </w:rPr>
      </w:pPr>
    </w:p>
    <w:p w:rsidR="001C1946" w:rsidRDefault="001C1946">
      <w:pPr>
        <w:pStyle w:val="Heading2"/>
        <w:rPr>
          <w:i/>
          <w:iCs/>
        </w:rPr>
      </w:pPr>
      <w:r>
        <w:rPr>
          <w:i/>
          <w:iCs/>
        </w:rPr>
        <w:t>Parent Participation and Satisfaction</w:t>
      </w:r>
    </w:p>
    <w:p w:rsidR="001C1946" w:rsidRDefault="001C1946">
      <w:pPr>
        <w:rPr>
          <w:sz w:val="24"/>
        </w:rPr>
      </w:pPr>
    </w:p>
    <w:p w:rsidR="001C1946" w:rsidRDefault="001C1946">
      <w:pPr>
        <w:rPr>
          <w:sz w:val="24"/>
        </w:rPr>
      </w:pPr>
      <w:proofErr w:type="gramStart"/>
      <w:r>
        <w:rPr>
          <w:sz w:val="24"/>
          <w:u w:val="single"/>
        </w:rPr>
        <w:t>Parent characteristics</w:t>
      </w:r>
      <w:r>
        <w:rPr>
          <w:sz w:val="24"/>
        </w:rPr>
        <w:t>.</w:t>
      </w:r>
      <w:proofErr w:type="gramEnd"/>
      <w:r>
        <w:rPr>
          <w:sz w:val="24"/>
        </w:rPr>
        <w:t xml:space="preserve"> On average, parents of students attending open-enrollment charter schools are relatively similar in terms of education and income compared to parents in the traditional public school sample. For charter </w:t>
      </w:r>
      <w:proofErr w:type="gramStart"/>
      <w:r>
        <w:rPr>
          <w:sz w:val="24"/>
        </w:rPr>
        <w:t>school</w:t>
      </w:r>
      <w:proofErr w:type="gramEnd"/>
      <w:r>
        <w:rPr>
          <w:sz w:val="24"/>
        </w:rPr>
        <w:t xml:space="preserve"> parents, 30% are high school graduates, 32% attended college, 17% graduated from college, and 3% have advanced degrees. The majority of charter school parents have incomes ranging from $20,000 to $75,000.</w:t>
      </w:r>
    </w:p>
    <w:p w:rsidR="001C1946" w:rsidRDefault="001C1946">
      <w:pPr>
        <w:rPr>
          <w:sz w:val="24"/>
        </w:rPr>
      </w:pPr>
    </w:p>
    <w:p w:rsidR="001C1946" w:rsidRDefault="001C1946">
      <w:pPr>
        <w:rPr>
          <w:sz w:val="24"/>
        </w:rPr>
      </w:pPr>
      <w:proofErr w:type="gramStart"/>
      <w:r>
        <w:rPr>
          <w:sz w:val="24"/>
          <w:u w:val="single"/>
        </w:rPr>
        <w:t>Awareness of charter schools</w:t>
      </w:r>
      <w:r>
        <w:rPr>
          <w:sz w:val="24"/>
        </w:rPr>
        <w:t>.</w:t>
      </w:r>
      <w:proofErr w:type="gramEnd"/>
      <w:r>
        <w:rPr>
          <w:sz w:val="24"/>
        </w:rPr>
        <w:t xml:space="preserve"> A majority of open-enrollment charter parents learned about charter schools by talking to friends and relatives (53%). About 25% of traditional public school parents and campus charter parents learn about charter schools from teachers or public schools, while only a small percentage (9%) of open-enrollment charter parents learn of charter schools from these sources.</w:t>
      </w:r>
    </w:p>
    <w:p w:rsidR="001C1946" w:rsidRDefault="001C1946">
      <w:pPr>
        <w:rPr>
          <w:sz w:val="24"/>
        </w:rPr>
      </w:pPr>
    </w:p>
    <w:p w:rsidR="001C1946" w:rsidRDefault="001C1946">
      <w:pPr>
        <w:rPr>
          <w:sz w:val="24"/>
        </w:rPr>
      </w:pPr>
      <w:r>
        <w:rPr>
          <w:sz w:val="24"/>
          <w:u w:val="single"/>
        </w:rPr>
        <w:t>School attributes influencing choices</w:t>
      </w:r>
      <w:r>
        <w:rPr>
          <w:sz w:val="24"/>
        </w:rPr>
        <w:t>. Open-enrollment charter school parents’ most important reasons for choosing a charter school are the teaching of moral values (28%), high math and</w:t>
      </w:r>
      <w:r>
        <w:rPr>
          <w:i/>
          <w:iCs/>
          <w:sz w:val="24"/>
        </w:rPr>
        <w:t xml:space="preserve"> </w:t>
      </w:r>
      <w:r>
        <w:rPr>
          <w:sz w:val="24"/>
        </w:rPr>
        <w:t>reading test scores (23%), and better discipline (22%). Parents were less likely to cite school safety, school location, or a racially diverse study body. In contrast, parents of students in traditional public schools and campus charter schools cite high test scores most frequently, followed by safety. The teaching of moral values does not emerge as a motivating factor.</w:t>
      </w:r>
    </w:p>
    <w:p w:rsidR="001C1946" w:rsidRDefault="001C1946">
      <w:pPr>
        <w:rPr>
          <w:sz w:val="24"/>
        </w:rPr>
      </w:pPr>
    </w:p>
    <w:p w:rsidR="001C1946" w:rsidRDefault="001C1946">
      <w:pPr>
        <w:rPr>
          <w:sz w:val="24"/>
        </w:rPr>
      </w:pPr>
      <w:proofErr w:type="gramStart"/>
      <w:r>
        <w:rPr>
          <w:sz w:val="24"/>
          <w:u w:val="single"/>
        </w:rPr>
        <w:t>Parent satisfaction</w:t>
      </w:r>
      <w:r>
        <w:rPr>
          <w:sz w:val="24"/>
        </w:rPr>
        <w:t>.</w:t>
      </w:r>
      <w:proofErr w:type="gramEnd"/>
      <w:r>
        <w:rPr>
          <w:sz w:val="24"/>
        </w:rPr>
        <w:t xml:space="preserve"> Charter school parents express high satisfaction with the charter schools their children attend—about 75% of parents give these schools a grade of A or B. Less than half (46%) would give their child’s previous school such grades, and parents were more likely to give the previous school a failing grade. Overall, charter school parents are very satisfied with parent-teacher relations (64%), teaching moral values (62%), discipline (62%), and teachers (61%).</w:t>
      </w:r>
    </w:p>
    <w:p w:rsidR="001C1946" w:rsidRDefault="001C1946">
      <w:pPr>
        <w:rPr>
          <w:sz w:val="24"/>
        </w:rPr>
      </w:pPr>
    </w:p>
    <w:p w:rsidR="001C1946" w:rsidRDefault="001C1946">
      <w:pPr>
        <w:rPr>
          <w:sz w:val="24"/>
        </w:rPr>
      </w:pPr>
      <w:proofErr w:type="gramStart"/>
      <w:r>
        <w:rPr>
          <w:sz w:val="24"/>
          <w:u w:val="single"/>
        </w:rPr>
        <w:t>Parent participation in schools</w:t>
      </w:r>
      <w:r>
        <w:rPr>
          <w:sz w:val="24"/>
        </w:rPr>
        <w:t>.</w:t>
      </w:r>
      <w:proofErr w:type="gramEnd"/>
      <w:r>
        <w:rPr>
          <w:sz w:val="24"/>
        </w:rPr>
        <w:t xml:space="preserve"> Charter school parents most frequently participate through attending a parent-teacher conference (80%), attending a PTO meeting (70%), </w:t>
      </w:r>
      <w:proofErr w:type="gramStart"/>
      <w:r>
        <w:rPr>
          <w:sz w:val="24"/>
        </w:rPr>
        <w:t>helping</w:t>
      </w:r>
      <w:proofErr w:type="gramEnd"/>
      <w:r>
        <w:rPr>
          <w:sz w:val="24"/>
        </w:rPr>
        <w:t xml:space="preserve"> with fund raising (56%), and volunteering at school (51%). Parents’ participation levels changed little compared to involvement in their child’s previous school (2% to 3%).</w:t>
      </w:r>
    </w:p>
    <w:p w:rsidR="001C1946" w:rsidRDefault="001C1946">
      <w:pPr>
        <w:rPr>
          <w:sz w:val="24"/>
        </w:rPr>
      </w:pPr>
    </w:p>
    <w:p w:rsidR="001C1946" w:rsidRDefault="001C1946">
      <w:pPr>
        <w:pStyle w:val="Heading8"/>
        <w:rPr>
          <w:sz w:val="24"/>
        </w:rPr>
      </w:pPr>
      <w:r>
        <w:rPr>
          <w:sz w:val="24"/>
        </w:rPr>
        <w:t>Perspectives of Charter School Directors</w:t>
      </w:r>
    </w:p>
    <w:p w:rsidR="001C1946" w:rsidRDefault="001C1946">
      <w:pPr>
        <w:jc w:val="center"/>
        <w:rPr>
          <w:b/>
          <w:bCs/>
        </w:rPr>
      </w:pPr>
    </w:p>
    <w:p w:rsidR="001C1946" w:rsidRDefault="001C1946">
      <w:pPr>
        <w:rPr>
          <w:sz w:val="24"/>
        </w:rPr>
      </w:pPr>
      <w:proofErr w:type="gramStart"/>
      <w:r>
        <w:rPr>
          <w:sz w:val="24"/>
          <w:u w:val="single"/>
        </w:rPr>
        <w:t>Director qualifications</w:t>
      </w:r>
      <w:r>
        <w:rPr>
          <w:sz w:val="24"/>
        </w:rPr>
        <w:t>.</w:t>
      </w:r>
      <w:proofErr w:type="gramEnd"/>
      <w:r>
        <w:rPr>
          <w:sz w:val="24"/>
        </w:rPr>
        <w:t xml:space="preserve"> Directors are well educated, with approximately half holding a Masters degree, 18 directors with doctorates, and 2 with law degrees. About two-thirds of charter school directors taught in traditional public schools before coming to charter schools. Many had prior administrative experience—78 had been an administrator in a traditional public school and 44 in a private school.</w:t>
      </w:r>
    </w:p>
    <w:p w:rsidR="001C1946" w:rsidRDefault="001C1946">
      <w:pPr>
        <w:jc w:val="center"/>
        <w:rPr>
          <w:b/>
          <w:bCs/>
          <w:sz w:val="24"/>
        </w:rPr>
      </w:pPr>
    </w:p>
    <w:p w:rsidR="001C1946" w:rsidRDefault="001C1946">
      <w:pPr>
        <w:rPr>
          <w:sz w:val="24"/>
        </w:rPr>
      </w:pPr>
      <w:r>
        <w:rPr>
          <w:sz w:val="24"/>
          <w:u w:val="single"/>
        </w:rPr>
        <w:lastRenderedPageBreak/>
        <w:t>Reasons for founding charter school</w:t>
      </w:r>
      <w:r>
        <w:rPr>
          <w:sz w:val="24"/>
        </w:rPr>
        <w:t>. As in past years, the majority of charter school directors founded charter schools either to develop their own educational visions or to serve a special student population; however, directors in schools serving less than 75 percent at-risk students placed more importance on autonomy in educational programming from local school districts and in personnel matters.</w:t>
      </w:r>
    </w:p>
    <w:p w:rsidR="001C1946" w:rsidRDefault="001C1946">
      <w:pPr>
        <w:rPr>
          <w:sz w:val="24"/>
        </w:rPr>
      </w:pPr>
    </w:p>
    <w:p w:rsidR="001C1946" w:rsidRDefault="001C1946">
      <w:pPr>
        <w:rPr>
          <w:sz w:val="24"/>
        </w:rPr>
      </w:pPr>
      <w:r>
        <w:rPr>
          <w:sz w:val="24"/>
          <w:u w:val="single"/>
        </w:rPr>
        <w:t>Challenges to establishing and operating charter schools</w:t>
      </w:r>
      <w:r>
        <w:rPr>
          <w:sz w:val="24"/>
        </w:rPr>
        <w:t>. Charter school directors identified their greatest challenge as lack of startup and operating funds, followed by lack of planning time. Lack of adequate facilities, various regulations, and hiring teachers are moderate barriers. In comparing the first year of operation with subsequent years, involving parents remains the greatest challenge for directors. Securing adequate funding, realizing the original vision, and attracting and retaining teachers and staff have also become more difficult.</w:t>
      </w:r>
    </w:p>
    <w:p w:rsidR="001C1946" w:rsidRDefault="001C1946">
      <w:pPr>
        <w:rPr>
          <w:sz w:val="24"/>
        </w:rPr>
      </w:pPr>
    </w:p>
    <w:p w:rsidR="001C1946" w:rsidRDefault="001C1946">
      <w:pPr>
        <w:rPr>
          <w:sz w:val="24"/>
        </w:rPr>
      </w:pPr>
      <w:proofErr w:type="gramStart"/>
      <w:r>
        <w:rPr>
          <w:sz w:val="24"/>
          <w:u w:val="single"/>
        </w:rPr>
        <w:t>Curriculum</w:t>
      </w:r>
      <w:r>
        <w:rPr>
          <w:sz w:val="24"/>
        </w:rPr>
        <w:t>.</w:t>
      </w:r>
      <w:proofErr w:type="gramEnd"/>
      <w:r>
        <w:rPr>
          <w:sz w:val="24"/>
        </w:rPr>
        <w:t xml:space="preserve"> </w:t>
      </w:r>
      <w:proofErr w:type="gramStart"/>
      <w:r>
        <w:rPr>
          <w:sz w:val="24"/>
        </w:rPr>
        <w:t>Almost all (96%) of the directors report using state-adopted curricular materials, with 77% augmenting that curriculum with other educational programs.</w:t>
      </w:r>
      <w:proofErr w:type="gramEnd"/>
      <w:r>
        <w:rPr>
          <w:sz w:val="24"/>
        </w:rPr>
        <w:t xml:space="preserve"> The most prevalent educational practices include mainstreaming students (87%), technology for learning (82%), individualized learning (82%), multi-age grouping (65%), performance-based assessments (65%), and alternative assessments (55%).</w:t>
      </w:r>
    </w:p>
    <w:p w:rsidR="001C1946" w:rsidRDefault="001C1946">
      <w:pPr>
        <w:rPr>
          <w:sz w:val="24"/>
        </w:rPr>
      </w:pPr>
    </w:p>
    <w:p w:rsidR="001C1946" w:rsidRDefault="001C1946">
      <w:pPr>
        <w:rPr>
          <w:sz w:val="24"/>
        </w:rPr>
      </w:pPr>
      <w:proofErr w:type="gramStart"/>
      <w:r>
        <w:rPr>
          <w:sz w:val="24"/>
          <w:u w:val="single"/>
        </w:rPr>
        <w:t>Student discipline</w:t>
      </w:r>
      <w:r>
        <w:rPr>
          <w:sz w:val="24"/>
        </w:rPr>
        <w:t>.</w:t>
      </w:r>
      <w:proofErr w:type="gramEnd"/>
      <w:r>
        <w:rPr>
          <w:sz w:val="24"/>
        </w:rPr>
        <w:t xml:space="preserve"> Overall, directors do not view discipline problems as particularly serious, although discipline is more of a problem in charter schools serving primarily at-risk students. Disciplinary incidents most commonly involve assault and drugs and are more likely to occur in schools serving primarily at-risk students. Compared to the previous year, the amount of time spent on discipline decreased, with administrators and teachers spending less than 15% of their time on discipline. </w:t>
      </w:r>
    </w:p>
    <w:p w:rsidR="001C1946" w:rsidRDefault="001C1946">
      <w:pPr>
        <w:rPr>
          <w:sz w:val="24"/>
        </w:rPr>
      </w:pPr>
    </w:p>
    <w:p w:rsidR="001C1946" w:rsidRDefault="001C1946">
      <w:pPr>
        <w:rPr>
          <w:sz w:val="24"/>
        </w:rPr>
      </w:pPr>
      <w:r>
        <w:rPr>
          <w:sz w:val="24"/>
          <w:u w:val="single"/>
        </w:rPr>
        <w:t>Organizational, community, and parent support</w:t>
      </w:r>
      <w:r>
        <w:rPr>
          <w:sz w:val="24"/>
        </w:rPr>
        <w:t>. More than 90% of charter school directors received support from regional education service centers (ESCs), the Charter School Resource Center, and TEA. Charter schools serving primarily at-risk students are more likely to receive support from the local school district than schools serving less at-risk students. Charter schools also receive substantial support from businesses and the community, and schools serving less than 75 percent at-risk students report higher levels of support than schools serving primarily at-risk students. The most common types of support include equipment donations, field trips, time, and monetary donations. Mentoring, tutoring, and job shadowing are more common in schools serving primarily at-risk students. Parent participation is far more prevalent in charter schools serving less at-risk students, with fundraising and parent tutoring the most common type.</w:t>
      </w:r>
    </w:p>
    <w:p w:rsidR="001C1946" w:rsidRDefault="001C1946">
      <w:pPr>
        <w:rPr>
          <w:sz w:val="24"/>
        </w:rPr>
      </w:pPr>
    </w:p>
    <w:p w:rsidR="001C1946" w:rsidRDefault="001C1946">
      <w:pPr>
        <w:rPr>
          <w:sz w:val="24"/>
        </w:rPr>
      </w:pPr>
      <w:proofErr w:type="gramStart"/>
      <w:r>
        <w:rPr>
          <w:sz w:val="24"/>
          <w:u w:val="single"/>
        </w:rPr>
        <w:t>Returning students</w:t>
      </w:r>
      <w:r>
        <w:rPr>
          <w:sz w:val="24"/>
        </w:rPr>
        <w:t>.</w:t>
      </w:r>
      <w:proofErr w:type="gramEnd"/>
      <w:r>
        <w:rPr>
          <w:sz w:val="24"/>
        </w:rPr>
        <w:t xml:space="preserve"> Directors report that more than 75% of eligible students returned for the 1999-00 school year. About half had a waiting list in the current school year. Charter schools use a variety of recruitment techniques, most frequently word-of-mouth, fliers, and parent meetings. Students most often leave charter schools because they moved or completed a GED.</w:t>
      </w:r>
    </w:p>
    <w:p w:rsidR="001C1946" w:rsidRDefault="001C1946">
      <w:pPr>
        <w:jc w:val="center"/>
        <w:rPr>
          <w:b/>
          <w:bCs/>
          <w:sz w:val="24"/>
        </w:rPr>
      </w:pPr>
    </w:p>
    <w:p w:rsidR="001C1946" w:rsidRDefault="001C1946">
      <w:pPr>
        <w:pStyle w:val="Heading8"/>
        <w:rPr>
          <w:sz w:val="24"/>
        </w:rPr>
      </w:pPr>
      <w:r>
        <w:rPr>
          <w:sz w:val="24"/>
        </w:rPr>
        <w:t>Effects of Open-Enrollment Charter Schools on Traditional School Districts</w:t>
      </w:r>
    </w:p>
    <w:p w:rsidR="001C1946" w:rsidRDefault="001C1946"/>
    <w:p w:rsidR="001C1946" w:rsidRDefault="001C1946">
      <w:pPr>
        <w:rPr>
          <w:sz w:val="24"/>
        </w:rPr>
      </w:pPr>
      <w:proofErr w:type="gramStart"/>
      <w:r>
        <w:rPr>
          <w:sz w:val="24"/>
          <w:u w:val="single"/>
        </w:rPr>
        <w:t>Effects from charter schools</w:t>
      </w:r>
      <w:r>
        <w:rPr>
          <w:sz w:val="24"/>
        </w:rPr>
        <w:t>.</w:t>
      </w:r>
      <w:proofErr w:type="gramEnd"/>
      <w:r>
        <w:rPr>
          <w:sz w:val="24"/>
        </w:rPr>
        <w:t xml:space="preserve"> Approximately 75% of the 154 respondents reported no effects from charter schools. Moreover, more than 66% of respondents from the 46 districts reporting </w:t>
      </w:r>
      <w:r>
        <w:rPr>
          <w:sz w:val="24"/>
        </w:rPr>
        <w:lastRenderedPageBreak/>
        <w:t>effects characterized these as mild. Large districts reported effects from charter schools more frequently than did mid-size or small districts.</w:t>
      </w:r>
    </w:p>
    <w:p w:rsidR="001C1946" w:rsidRDefault="001C1946">
      <w:pPr>
        <w:rPr>
          <w:sz w:val="24"/>
        </w:rPr>
      </w:pPr>
    </w:p>
    <w:p w:rsidR="001C1946" w:rsidRDefault="001C1946">
      <w:pPr>
        <w:rPr>
          <w:sz w:val="24"/>
        </w:rPr>
      </w:pPr>
      <w:proofErr w:type="gramStart"/>
      <w:r>
        <w:rPr>
          <w:sz w:val="24"/>
          <w:u w:val="single"/>
        </w:rPr>
        <w:t>District students attending charter schools</w:t>
      </w:r>
      <w:r>
        <w:rPr>
          <w:sz w:val="24"/>
        </w:rPr>
        <w:t>.</w:t>
      </w:r>
      <w:proofErr w:type="gramEnd"/>
      <w:r>
        <w:rPr>
          <w:sz w:val="24"/>
        </w:rPr>
        <w:t xml:space="preserve"> Less than 25% of districts near operating charter schools report students leaving district schools to attend charter schools. Students moving to charter schools are more likely to be at-risk students. Administrators, in many cases, are uncertain about student movement to charter schools because no means exists to track student movement unless district records are requested. A specific problem mentioned by several respondents involves students transferring back to the traditional public schools without mastering course content for which they received credit.</w:t>
      </w:r>
    </w:p>
    <w:p w:rsidR="001C1946" w:rsidRDefault="001C1946">
      <w:pPr>
        <w:rPr>
          <w:sz w:val="24"/>
        </w:rPr>
      </w:pPr>
    </w:p>
    <w:p w:rsidR="001C1946" w:rsidRDefault="001C1946">
      <w:pPr>
        <w:rPr>
          <w:sz w:val="24"/>
        </w:rPr>
      </w:pPr>
      <w:proofErr w:type="gramStart"/>
      <w:r>
        <w:rPr>
          <w:sz w:val="24"/>
          <w:u w:val="single"/>
        </w:rPr>
        <w:t>Financial effects</w:t>
      </w:r>
      <w:r>
        <w:rPr>
          <w:sz w:val="24"/>
        </w:rPr>
        <w:t>.</w:t>
      </w:r>
      <w:proofErr w:type="gramEnd"/>
      <w:r>
        <w:rPr>
          <w:sz w:val="24"/>
        </w:rPr>
        <w:t xml:space="preserve"> Because student tracking is a problem, the financial effects are largely unknown, but about 25% of districts operating near charter schools reported experiencing financial effects. Respondents affected financially indicated that effects should be measured directly as lost ADA, and lost revenue estimates were $200,000 or less (11 districts) and $400,000 or more (9 districts). Respondents from districts unaffected financially by charter schools usually based their response on the fact that no students—or an insignificant number of students—left to attend charter schools.</w:t>
      </w:r>
    </w:p>
    <w:p w:rsidR="001C1946" w:rsidRDefault="001C1946">
      <w:pPr>
        <w:rPr>
          <w:sz w:val="24"/>
        </w:rPr>
      </w:pPr>
    </w:p>
    <w:p w:rsidR="001C1946" w:rsidRDefault="001C1946">
      <w:pPr>
        <w:rPr>
          <w:sz w:val="24"/>
        </w:rPr>
      </w:pPr>
      <w:proofErr w:type="gramStart"/>
      <w:r>
        <w:rPr>
          <w:sz w:val="24"/>
          <w:u w:val="single"/>
        </w:rPr>
        <w:t>Responses to the presence of charter schools</w:t>
      </w:r>
      <w:r>
        <w:rPr>
          <w:sz w:val="24"/>
        </w:rPr>
        <w:t>.</w:t>
      </w:r>
      <w:proofErr w:type="gramEnd"/>
      <w:r>
        <w:rPr>
          <w:sz w:val="24"/>
        </w:rPr>
        <w:t xml:space="preserve"> The most commonly reported responses to the presence of charter schools include district administrators meeting to discuss issues concerning charter schools (44%) and charter school issues included in the district’s board agenda (28%). Very few districts reported changes in policies, programs, or services in response to the presence of charter schools in the area. Similarly, very few reported any effects on district educators, students, or parents.</w:t>
      </w:r>
    </w:p>
    <w:p w:rsidR="001C1946" w:rsidRDefault="001C1946">
      <w:pPr>
        <w:rPr>
          <w:sz w:val="24"/>
        </w:rPr>
      </w:pPr>
    </w:p>
    <w:p w:rsidR="001C1946" w:rsidRDefault="001C1946">
      <w:pPr>
        <w:rPr>
          <w:b/>
          <w:bCs/>
          <w:i/>
          <w:iCs/>
          <w:sz w:val="24"/>
        </w:rPr>
      </w:pPr>
      <w:r>
        <w:rPr>
          <w:b/>
          <w:bCs/>
          <w:i/>
          <w:iCs/>
          <w:sz w:val="24"/>
        </w:rPr>
        <w:t>Evaluation Continuation</w:t>
      </w:r>
    </w:p>
    <w:p w:rsidR="001C1946" w:rsidRDefault="001C1946">
      <w:pPr>
        <w:rPr>
          <w:sz w:val="24"/>
        </w:rPr>
      </w:pPr>
    </w:p>
    <w:p w:rsidR="001C1946" w:rsidRDefault="001C1946">
      <w:pPr>
        <w:rPr>
          <w:sz w:val="24"/>
        </w:rPr>
      </w:pPr>
      <w:r>
        <w:rPr>
          <w:sz w:val="24"/>
        </w:rPr>
        <w:t xml:space="preserve">Currently, evaluation efforts are underway for the fifth-year evaluation of Texas open-enrollment charter schools. Evaluators will provide an in-depth examination of open-enrollment charter schools in operation for the majority of the 2000-01 school </w:t>
      </w:r>
      <w:proofErr w:type="gramStart"/>
      <w:r>
        <w:rPr>
          <w:sz w:val="24"/>
        </w:rPr>
        <w:t>year</w:t>
      </w:r>
      <w:proofErr w:type="gramEnd"/>
      <w:r>
        <w:rPr>
          <w:sz w:val="24"/>
        </w:rPr>
        <w:t xml:space="preserve"> as well as a longitudinal review of findings over the five years of the evaluation.</w:t>
      </w:r>
    </w:p>
    <w:p w:rsidR="001C1946" w:rsidRDefault="001C1946">
      <w:pPr>
        <w:rPr>
          <w:sz w:val="24"/>
        </w:rPr>
      </w:pPr>
    </w:p>
    <w:sectPr w:rsidR="001C1946">
      <w:footerReference w:type="even" r:id="rId10"/>
      <w:footerReference w:type="default" r:id="rId11"/>
      <w:type w:val="continuous"/>
      <w:pgSz w:w="12240" w:h="15840"/>
      <w:pgMar w:top="1440" w:right="1800" w:bottom="1440" w:left="1800" w:header="720" w:footer="720" w:gutter="0"/>
      <w:cols w:space="720" w:equalWidth="0">
        <w:col w:w="9360" w:space="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30B7E">
      <w:r>
        <w:separator/>
      </w:r>
    </w:p>
  </w:endnote>
  <w:endnote w:type="continuationSeparator" w:id="0">
    <w:p w:rsidR="00000000" w:rsidRDefault="00930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46" w:rsidRDefault="001C1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946" w:rsidRDefault="001C19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46" w:rsidRDefault="001C1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1946" w:rsidRDefault="001C194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46" w:rsidRDefault="001C1946">
    <w:pPr>
      <w:pStyle w:val="Footer"/>
      <w:jc w:val="right"/>
    </w:pPr>
    <w:r>
      <w:rPr>
        <w:rStyle w:val="PageNumber"/>
      </w:rPr>
      <w:fldChar w:fldCharType="begin"/>
    </w:r>
    <w:r>
      <w:rPr>
        <w:rStyle w:val="PageNumber"/>
      </w:rPr>
      <w:instrText xml:space="preserve"> PAGE </w:instrText>
    </w:r>
    <w:r>
      <w:rPr>
        <w:rStyle w:val="PageNumber"/>
      </w:rPr>
      <w:fldChar w:fldCharType="separate"/>
    </w:r>
    <w:r w:rsidR="00930B7E">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46" w:rsidRDefault="001C1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946" w:rsidRDefault="001C194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46" w:rsidRDefault="001C1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B7E">
      <w:rPr>
        <w:rStyle w:val="PageNumber"/>
        <w:noProof/>
      </w:rPr>
      <w:t>12</w:t>
    </w:r>
    <w:r>
      <w:rPr>
        <w:rStyle w:val="PageNumber"/>
      </w:rPr>
      <w:fldChar w:fldCharType="end"/>
    </w:r>
  </w:p>
  <w:p w:rsidR="001C1946" w:rsidRDefault="001C19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30B7E">
      <w:r>
        <w:separator/>
      </w:r>
    </w:p>
  </w:footnote>
  <w:footnote w:type="continuationSeparator" w:id="0">
    <w:p w:rsidR="00000000" w:rsidRDefault="00930B7E">
      <w:r>
        <w:continuationSeparator/>
      </w:r>
    </w:p>
  </w:footnote>
  <w:footnote w:id="1">
    <w:p w:rsidR="001C1946" w:rsidRDefault="001C1946">
      <w:pPr>
        <w:pStyle w:val="FootnoteText"/>
      </w:pPr>
      <w:r>
        <w:rPr>
          <w:rStyle w:val="FootnoteReference"/>
        </w:rPr>
        <w:footnoteRef/>
      </w:r>
      <w:r>
        <w:t xml:space="preserve"> With House Bill 6, the 77</w:t>
      </w:r>
      <w:r>
        <w:rPr>
          <w:vertAlign w:val="superscript"/>
        </w:rPr>
        <w:t>th</w:t>
      </w:r>
      <w:r>
        <w:t xml:space="preserve"> Texas Legislature eliminated the 75 Percent Rule designation.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2F3E"/>
    <w:multiLevelType w:val="hybridMultilevel"/>
    <w:tmpl w:val="32C88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41183E"/>
    <w:multiLevelType w:val="hybridMultilevel"/>
    <w:tmpl w:val="51B2B2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F25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4C2A6D"/>
    <w:multiLevelType w:val="hybridMultilevel"/>
    <w:tmpl w:val="8028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7169D"/>
    <w:multiLevelType w:val="hybridMultilevel"/>
    <w:tmpl w:val="80EA0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E860EB"/>
    <w:multiLevelType w:val="hybridMultilevel"/>
    <w:tmpl w:val="E6948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E4168C"/>
    <w:multiLevelType w:val="hybridMultilevel"/>
    <w:tmpl w:val="71066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CC6082"/>
    <w:multiLevelType w:val="hybridMultilevel"/>
    <w:tmpl w:val="4C585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F20E1A"/>
    <w:multiLevelType w:val="hybridMultilevel"/>
    <w:tmpl w:val="47D8A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782C7A"/>
    <w:multiLevelType w:val="hybridMultilevel"/>
    <w:tmpl w:val="1570E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0A4CED"/>
    <w:multiLevelType w:val="singleLevel"/>
    <w:tmpl w:val="4D3EA6DE"/>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8"/>
  </w:num>
  <w:num w:numId="4">
    <w:abstractNumId w:val="0"/>
  </w:num>
  <w:num w:numId="5">
    <w:abstractNumId w:val="1"/>
  </w:num>
  <w:num w:numId="6">
    <w:abstractNumId w:val="9"/>
  </w:num>
  <w:num w:numId="7">
    <w:abstractNumId w:val="3"/>
  </w:num>
  <w:num w:numId="8">
    <w:abstractNumId w:val="7"/>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s>
  <w:rsids>
    <w:rsidRoot w:val="001C1946"/>
    <w:rsid w:val="001C1946"/>
    <w:rsid w:val="00930B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sz w:val="28"/>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sz w:val="24"/>
      <w:szCs w:val="24"/>
      <w:u w:val="single"/>
    </w:rPr>
  </w:style>
  <w:style w:type="paragraph" w:styleId="Heading4">
    <w:name w:val="heading 4"/>
    <w:basedOn w:val="Normal"/>
    <w:next w:val="Normal"/>
    <w:qFormat/>
    <w:pPr>
      <w:keepNext/>
      <w:outlineLvl w:val="3"/>
    </w:pPr>
    <w:rPr>
      <w:b/>
      <w:sz w:val="22"/>
      <w:szCs w:val="24"/>
    </w:rPr>
  </w:style>
  <w:style w:type="paragraph" w:styleId="Heading6">
    <w:name w:val="heading 6"/>
    <w:basedOn w:val="Normal"/>
    <w:next w:val="Normal"/>
    <w:qFormat/>
    <w:pPr>
      <w:keepNext/>
      <w:jc w:val="center"/>
      <w:outlineLvl w:val="5"/>
    </w:pPr>
    <w:rPr>
      <w:b/>
      <w:color w:val="000000"/>
      <w:sz w:val="22"/>
    </w:rPr>
  </w:style>
  <w:style w:type="paragraph" w:styleId="Heading7">
    <w:name w:val="heading 7"/>
    <w:basedOn w:val="Normal"/>
    <w:next w:val="Normal"/>
    <w:qFormat/>
    <w:pPr>
      <w:keepNext/>
      <w:outlineLvl w:val="6"/>
    </w:pPr>
    <w:rPr>
      <w:i/>
      <w:iCs/>
      <w:sz w:val="24"/>
      <w:szCs w:val="24"/>
    </w:rPr>
  </w:style>
  <w:style w:type="paragraph" w:styleId="Heading8">
    <w:name w:val="heading 8"/>
    <w:basedOn w:val="Normal"/>
    <w:next w:val="Normal"/>
    <w:qFormat/>
    <w:pPr>
      <w:keepNext/>
      <w:outlineLvl w:val="7"/>
    </w:pPr>
    <w:rPr>
      <w:b/>
      <w:bCs/>
      <w:i/>
      <w:iCs/>
      <w:sz w:val="26"/>
      <w:szCs w:val="24"/>
    </w:rPr>
  </w:style>
  <w:style w:type="paragraph" w:styleId="Heading9">
    <w:name w:val="heading 9"/>
    <w:basedOn w:val="Normal"/>
    <w:next w:val="Normal"/>
    <w:qFormat/>
    <w:pPr>
      <w:keepNext/>
      <w:jc w:val="center"/>
      <w:outlineLvl w:val="8"/>
    </w:pPr>
    <w:rPr>
      <w:b/>
      <w:bCs/>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
    <w:name w:val="Body Text"/>
    <w:basedOn w:val="Normal"/>
    <w:rPr>
      <w:b/>
      <w:sz w:val="48"/>
    </w:rPr>
  </w:style>
  <w:style w:type="paragraph" w:styleId="Header">
    <w:name w:val="header"/>
    <w:basedOn w:val="Normal"/>
    <w:pPr>
      <w:tabs>
        <w:tab w:val="center" w:pos="4320"/>
        <w:tab w:val="right" w:pos="8640"/>
      </w:tabs>
    </w:pPr>
    <w:rPr>
      <w:sz w:val="24"/>
    </w:rPr>
  </w:style>
  <w:style w:type="paragraph" w:styleId="FootnoteText">
    <w:name w:val="footnote text"/>
    <w:basedOn w:val="Normal"/>
    <w:semiHidden/>
  </w:style>
  <w:style w:type="paragraph" w:styleId="Caption">
    <w:name w:val="caption"/>
    <w:basedOn w:val="Normal"/>
    <w:next w:val="Normal"/>
    <w:qFormat/>
    <w:rPr>
      <w:i/>
      <w:color w:val="000000"/>
      <w:sz w:val="18"/>
    </w:rPr>
  </w:style>
  <w:style w:type="character" w:styleId="PageNumber">
    <w:name w:val="page number"/>
    <w:basedOn w:val="DefaultParagraphFont"/>
  </w:style>
  <w:style w:type="paragraph" w:styleId="Footer">
    <w:name w:val="footer"/>
    <w:basedOn w:val="Normal"/>
    <w:pPr>
      <w:tabs>
        <w:tab w:val="center" w:pos="4320"/>
        <w:tab w:val="right" w:pos="8640"/>
      </w:tabs>
    </w:pPr>
    <w:rPr>
      <w:sz w:val="24"/>
      <w:szCs w:val="24"/>
    </w:rPr>
  </w:style>
  <w:style w:type="character" w:styleId="FootnoteReference">
    <w:name w:val="foot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4698</Words>
  <Characters>27554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Texas Open-Enrollment Charter Schools Year Four Executive Summary</vt:lpstr>
    </vt:vector>
  </TitlesOfParts>
  <Company>TCER</Company>
  <LinksUpToDate>false</LinksUpToDate>
  <CharactersWithSpaces>32188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Open-Enrollment Charter Schools Year Four Executive Summary</dc:title>
  <dc:subject/>
  <dc:creator>TCER</dc:creator>
  <cp:keywords/>
  <dc:description/>
  <cp:lastModifiedBy>lworley</cp:lastModifiedBy>
  <cp:revision>2</cp:revision>
  <cp:lastPrinted>2001-09-05T21:21:00Z</cp:lastPrinted>
  <dcterms:created xsi:type="dcterms:W3CDTF">2011-08-08T21:59:00Z</dcterms:created>
  <dcterms:modified xsi:type="dcterms:W3CDTF">2011-08-08T21:59:00Z</dcterms:modified>
</cp:coreProperties>
</file>