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C4" w:rsidRDefault="001D3CC4" w:rsidP="001D3CC4">
      <w:pPr>
        <w:pStyle w:val="Heading1"/>
      </w:pPr>
      <w:bookmarkStart w:id="0" w:name="_Toc361230052"/>
      <w:r>
        <w:t>Maximum Indirect Costs Worksheet</w:t>
      </w:r>
      <w:bookmarkEnd w:id="0"/>
    </w:p>
    <w:p w:rsidR="001D3CC4" w:rsidRDefault="001D3CC4" w:rsidP="001D3CC4">
      <w:r>
        <w:t xml:space="preserve">With input from the grantee, this worksheet automatically calculates the </w:t>
      </w:r>
      <w:r>
        <w:rPr>
          <w:b/>
        </w:rPr>
        <w:t>maximum</w:t>
      </w:r>
      <w:r>
        <w:t xml:space="preserve"> that may be claimed in indirect costs for a grant administered by TEA. Any amount calculated for indirect costs is an estimate only. Indirect costs are claimed based on actual expenditures declared on the expenditure reporting system, regardless of whether you have included indirect costs on the Program Budget Summary in the original application or amendment.</w:t>
      </w:r>
    </w:p>
    <w:p w:rsidR="001D3CC4" w:rsidRDefault="001D3CC4" w:rsidP="001D3CC4">
      <w:r>
        <w:t>Complete the worksheet as follows:</w:t>
      </w:r>
    </w:p>
    <w:p w:rsidR="001D3CC4" w:rsidRDefault="001D3CC4" w:rsidP="001D3CC4">
      <w:pPr>
        <w:pStyle w:val="ListParagraph"/>
        <w:numPr>
          <w:ilvl w:val="0"/>
          <w:numId w:val="39"/>
        </w:numPr>
        <w:spacing w:before="120"/>
      </w:pPr>
      <w:r>
        <w:t>Yellow indicates a cell where input is required. After entering input, tab to the next yellow cell.</w:t>
      </w:r>
    </w:p>
    <w:p w:rsidR="001D3CC4" w:rsidRDefault="001D3CC4" w:rsidP="001D3CC4">
      <w:pPr>
        <w:pStyle w:val="ListParagraph"/>
        <w:numPr>
          <w:ilvl w:val="0"/>
          <w:numId w:val="39"/>
        </w:numPr>
        <w:spacing w:before="120"/>
      </w:pPr>
      <w:r>
        <w:t>Light gray indicates a table cell where an automatic calculation takes place; no input is required.</w:t>
      </w:r>
    </w:p>
    <w:p w:rsidR="001D3CC4" w:rsidRDefault="001D3CC4" w:rsidP="001D3CC4">
      <w:pPr>
        <w:pStyle w:val="ListParagraph"/>
        <w:numPr>
          <w:ilvl w:val="0"/>
          <w:numId w:val="39"/>
        </w:numPr>
        <w:spacing w:before="120"/>
      </w:pPr>
      <w:r>
        <w:t>Dark gray indicates a table cell that corresponds to instructions; no input is required.</w:t>
      </w:r>
    </w:p>
    <w:p w:rsidR="001D3CC4" w:rsidRDefault="001D3CC4" w:rsidP="001D3CC4">
      <w:r>
        <w:t>For a tabular view of all exclusions by grantee type, refer to Table A: Costs That Must Be Excluded from the Indirect Cost Calculation, following this worksheet.</w:t>
      </w:r>
    </w:p>
    <w:p w:rsidR="001D3CC4" w:rsidRDefault="001D3CC4" w:rsidP="00AB2A53">
      <w:r>
        <w:t xml:space="preserve">This worksheet is based on guidance from OMB circulars A-21, A-87, and A-122; US Department of Education </w:t>
      </w:r>
      <w:r>
        <w:rPr>
          <w:i/>
        </w:rPr>
        <w:t>Cost Allocation Guide for State and Local Governments;</w:t>
      </w:r>
      <w:r>
        <w:t xml:space="preserve"> and the Texas Financial Accountability System Resource Guide, Financial Accounting and Reporting, January 2010. Other costs than those listed may apply; refer to the preceding guidance.</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124"/>
        <w:gridCol w:w="270"/>
        <w:gridCol w:w="6714"/>
        <w:gridCol w:w="1675"/>
      </w:tblGrid>
      <w:tr w:rsidR="00AB2A53" w:rsidRPr="004C0021" w:rsidTr="004C0021">
        <w:trPr>
          <w:tblHeader/>
          <w:jc w:val="center"/>
        </w:trPr>
        <w:tc>
          <w:tcPr>
            <w:tcW w:w="522" w:type="dxa"/>
            <w:tcBorders>
              <w:bottom w:val="single" w:sz="4" w:space="0" w:color="auto"/>
            </w:tcBorders>
            <w:shd w:val="clear" w:color="auto" w:fill="D9D9D9"/>
            <w:vAlign w:val="center"/>
          </w:tcPr>
          <w:p w:rsidR="00AB2A53" w:rsidRPr="00AB2A53" w:rsidRDefault="00AB2A53" w:rsidP="004C0021">
            <w:pPr>
              <w:spacing w:before="120"/>
              <w:jc w:val="center"/>
              <w:rPr>
                <w:b/>
              </w:rPr>
            </w:pPr>
            <w:r w:rsidRPr="00AB2A53">
              <w:rPr>
                <w:b/>
              </w:rPr>
              <w:t>#</w:t>
            </w:r>
          </w:p>
        </w:tc>
        <w:tc>
          <w:tcPr>
            <w:tcW w:w="124" w:type="dxa"/>
            <w:tcBorders>
              <w:bottom w:val="single" w:sz="4" w:space="0" w:color="auto"/>
              <w:right w:val="nil"/>
            </w:tcBorders>
            <w:shd w:val="clear" w:color="auto" w:fill="D9D9D9"/>
            <w:vAlign w:val="center"/>
          </w:tcPr>
          <w:p w:rsidR="00AB2A53" w:rsidRPr="00AB2A53" w:rsidRDefault="00AB2A53" w:rsidP="004C0021">
            <w:pPr>
              <w:spacing w:before="120"/>
              <w:jc w:val="center"/>
              <w:rPr>
                <w:b/>
              </w:rPr>
            </w:pPr>
          </w:p>
        </w:tc>
        <w:tc>
          <w:tcPr>
            <w:tcW w:w="6984" w:type="dxa"/>
            <w:gridSpan w:val="2"/>
            <w:tcBorders>
              <w:left w:val="nil"/>
              <w:bottom w:val="single" w:sz="4" w:space="0" w:color="auto"/>
            </w:tcBorders>
            <w:shd w:val="clear" w:color="auto" w:fill="D9D9D9"/>
            <w:vAlign w:val="center"/>
          </w:tcPr>
          <w:p w:rsidR="00AB2A53" w:rsidRPr="00AB2A53" w:rsidRDefault="00AB2A53" w:rsidP="004C0021">
            <w:pPr>
              <w:spacing w:before="120"/>
              <w:ind w:left="2160"/>
              <w:rPr>
                <w:b/>
              </w:rPr>
            </w:pPr>
            <w:r w:rsidRPr="00AB2A53">
              <w:rPr>
                <w:b/>
              </w:rPr>
              <w:t>Description</w:t>
            </w:r>
          </w:p>
        </w:tc>
        <w:tc>
          <w:tcPr>
            <w:tcW w:w="1675" w:type="dxa"/>
            <w:tcBorders>
              <w:bottom w:val="single" w:sz="4" w:space="0" w:color="auto"/>
            </w:tcBorders>
            <w:shd w:val="clear" w:color="auto" w:fill="D9D9D9"/>
            <w:vAlign w:val="center"/>
          </w:tcPr>
          <w:p w:rsidR="00AB2A53" w:rsidRPr="00AB2A53" w:rsidRDefault="00AB2A53" w:rsidP="004C0021">
            <w:pPr>
              <w:spacing w:before="120"/>
              <w:jc w:val="center"/>
              <w:rPr>
                <w:b/>
              </w:rPr>
            </w:pPr>
            <w:r w:rsidRPr="00AB2A53">
              <w:rPr>
                <w:b/>
              </w:rPr>
              <w:t>Amount</w:t>
            </w:r>
          </w:p>
        </w:tc>
      </w:tr>
      <w:tr w:rsidR="00AB2A53" w:rsidRPr="00AB2A53" w:rsidTr="004C0021">
        <w:trPr>
          <w:jc w:val="center"/>
        </w:trPr>
        <w:tc>
          <w:tcPr>
            <w:tcW w:w="522" w:type="dxa"/>
            <w:tcBorders>
              <w:bottom w:val="single" w:sz="4" w:space="0" w:color="auto"/>
            </w:tcBorders>
            <w:shd w:val="clear" w:color="auto" w:fill="auto"/>
          </w:tcPr>
          <w:p w:rsidR="00AB2A53" w:rsidRPr="00AB2A53" w:rsidRDefault="00AB2A53" w:rsidP="004C0021">
            <w:pPr>
              <w:spacing w:before="60" w:after="60"/>
              <w:jc w:val="center"/>
            </w:pPr>
            <w:r w:rsidRPr="00AB2A53">
              <w:t>1.</w:t>
            </w:r>
          </w:p>
        </w:tc>
        <w:tc>
          <w:tcPr>
            <w:tcW w:w="124" w:type="dxa"/>
            <w:tcBorders>
              <w:bottom w:val="single" w:sz="4" w:space="0" w:color="auto"/>
              <w:right w:val="nil"/>
            </w:tcBorders>
            <w:shd w:val="clear" w:color="auto" w:fill="auto"/>
            <w:tcMar>
              <w:left w:w="43" w:type="dxa"/>
              <w:right w:w="43" w:type="dxa"/>
            </w:tcMar>
          </w:tcPr>
          <w:p w:rsidR="00AB2A53" w:rsidRPr="00AB2A53" w:rsidRDefault="00AB2A53" w:rsidP="004C0021">
            <w:pPr>
              <w:spacing w:before="60" w:after="60"/>
            </w:pPr>
          </w:p>
        </w:tc>
        <w:tc>
          <w:tcPr>
            <w:tcW w:w="6984" w:type="dxa"/>
            <w:gridSpan w:val="2"/>
            <w:tcBorders>
              <w:left w:val="nil"/>
              <w:bottom w:val="single" w:sz="4" w:space="0" w:color="auto"/>
            </w:tcBorders>
            <w:shd w:val="clear" w:color="auto" w:fill="auto"/>
            <w:tcMar>
              <w:left w:w="0" w:type="dxa"/>
              <w:right w:w="115" w:type="dxa"/>
            </w:tcMar>
          </w:tcPr>
          <w:p w:rsidR="00AB2A53" w:rsidRPr="00AB2A53" w:rsidRDefault="00AB2A53" w:rsidP="004C0021">
            <w:pPr>
              <w:spacing w:before="60" w:after="60"/>
            </w:pPr>
            <w:r w:rsidRPr="00AB2A53">
              <w:t>Enter the total costs budgeted for the grant program:</w:t>
            </w:r>
          </w:p>
        </w:tc>
        <w:bookmarkStart w:id="1" w:name="Text1"/>
        <w:tc>
          <w:tcPr>
            <w:tcW w:w="1675" w:type="dxa"/>
            <w:tcBorders>
              <w:bottom w:val="single" w:sz="4" w:space="0" w:color="auto"/>
            </w:tcBorders>
            <w:shd w:val="clear" w:color="auto" w:fill="FFFFCC"/>
            <w:vAlign w:val="center"/>
          </w:tcPr>
          <w:p w:rsidR="00AB2A53" w:rsidRPr="00AB2A53" w:rsidRDefault="00B340FD" w:rsidP="00041FA3">
            <w:pPr>
              <w:spacing w:before="60" w:after="60"/>
              <w:jc w:val="right"/>
            </w:pPr>
            <w:r w:rsidRPr="00AB2A53">
              <w:fldChar w:fldCharType="begin">
                <w:ffData>
                  <w:name w:val="Text1"/>
                  <w:enabled/>
                  <w:calcOnExit/>
                  <w:textInput>
                    <w:type w:val="number"/>
                    <w:default w:val="$0.00"/>
                    <w:format w:val="$#,##0.00;($#,##0.00)"/>
                  </w:textInput>
                </w:ffData>
              </w:fldChar>
            </w:r>
            <w:r w:rsidR="00AB2A53" w:rsidRPr="00AB2A53">
              <w:instrText xml:space="preserve"> FORMTEXT </w:instrText>
            </w:r>
            <w:r w:rsidRPr="00AB2A53">
              <w:fldChar w:fldCharType="separate"/>
            </w:r>
            <w:bookmarkStart w:id="2" w:name="_GoBack"/>
            <w:r w:rsidR="00041FA3">
              <w:rPr>
                <w:noProof/>
              </w:rPr>
              <w:t>$0.00</w:t>
            </w:r>
            <w:bookmarkEnd w:id="2"/>
            <w:r w:rsidRPr="00AB2A53">
              <w:fldChar w:fldCharType="end"/>
            </w:r>
            <w:bookmarkEnd w:id="1"/>
          </w:p>
        </w:tc>
      </w:tr>
      <w:tr w:rsidR="00AB2A53" w:rsidRPr="004C0021" w:rsidTr="004C0021">
        <w:trPr>
          <w:jc w:val="center"/>
        </w:trPr>
        <w:tc>
          <w:tcPr>
            <w:tcW w:w="522" w:type="dxa"/>
            <w:tcBorders>
              <w:bottom w:val="nil"/>
            </w:tcBorders>
            <w:shd w:val="clear" w:color="auto" w:fill="auto"/>
          </w:tcPr>
          <w:p w:rsidR="00AB2A53" w:rsidRPr="00AB2A53" w:rsidRDefault="00AB2A53" w:rsidP="004C0021">
            <w:pPr>
              <w:spacing w:before="60" w:after="60"/>
              <w:jc w:val="center"/>
            </w:pPr>
            <w:r w:rsidRPr="00AB2A53">
              <w:t xml:space="preserve">2. </w:t>
            </w:r>
          </w:p>
        </w:tc>
        <w:tc>
          <w:tcPr>
            <w:tcW w:w="124" w:type="dxa"/>
            <w:tcBorders>
              <w:bottom w:val="single" w:sz="4" w:space="0" w:color="auto"/>
              <w:right w:val="nil"/>
            </w:tcBorders>
            <w:shd w:val="clear" w:color="auto" w:fill="auto"/>
            <w:tcMar>
              <w:left w:w="43" w:type="dxa"/>
              <w:right w:w="43" w:type="dxa"/>
            </w:tcMar>
          </w:tcPr>
          <w:p w:rsidR="00AB2A53" w:rsidRPr="00AB2A53" w:rsidRDefault="00AB2A53" w:rsidP="004C0021">
            <w:pPr>
              <w:spacing w:before="60" w:after="60"/>
            </w:pPr>
          </w:p>
        </w:tc>
        <w:tc>
          <w:tcPr>
            <w:tcW w:w="6984" w:type="dxa"/>
            <w:gridSpan w:val="2"/>
            <w:tcBorders>
              <w:left w:val="nil"/>
              <w:bottom w:val="single" w:sz="4" w:space="0" w:color="auto"/>
            </w:tcBorders>
            <w:shd w:val="clear" w:color="auto" w:fill="auto"/>
            <w:tcMar>
              <w:left w:w="0" w:type="dxa"/>
              <w:right w:w="115" w:type="dxa"/>
            </w:tcMar>
          </w:tcPr>
          <w:p w:rsidR="00AB2A53" w:rsidRPr="00AB2A53" w:rsidRDefault="00AB2A53" w:rsidP="004C0021">
            <w:pPr>
              <w:spacing w:before="60" w:after="60"/>
            </w:pPr>
            <w:r w:rsidRPr="00AB2A53">
              <w:t xml:space="preserve">Refer to the Restricted and Unrestricted Indirect Cost Rates section </w:t>
            </w:r>
            <w:r w:rsidR="009A2312">
              <w:t xml:space="preserve">of the Indirect Cost Handbook, posted on the </w:t>
            </w:r>
            <w:hyperlink r:id="rId11" w:history="1">
              <w:r w:rsidR="009A2312">
                <w:rPr>
                  <w:rStyle w:val="Hyperlink"/>
                </w:rPr>
                <w:t>Administering a Grant</w:t>
              </w:r>
            </w:hyperlink>
            <w:r w:rsidR="009A2312">
              <w:t xml:space="preserve"> page of the TEA website, </w:t>
            </w:r>
            <w:r w:rsidRPr="00AB2A53">
              <w:t xml:space="preserve">to determine whether to use the restricted or unrestricted rate. </w:t>
            </w:r>
          </w:p>
          <w:p w:rsidR="00AB2A53" w:rsidRPr="00AB2A53" w:rsidRDefault="00AB2A53" w:rsidP="004C0021">
            <w:pPr>
              <w:spacing w:before="60" w:after="60"/>
            </w:pPr>
            <w:r w:rsidRPr="00AB2A53">
              <w:t>If you must use a restricted rate and the following costs are budgeted in your application, enter the budgeted amount.</w:t>
            </w:r>
          </w:p>
          <w:p w:rsidR="00AB2A53" w:rsidRPr="00AB2A53" w:rsidRDefault="00AB2A53" w:rsidP="004C0021">
            <w:pPr>
              <w:spacing w:before="60" w:after="60"/>
            </w:pPr>
            <w:r w:rsidRPr="00AB2A53">
              <w:t>If you must use an unrestricted rate, enter 0.</w:t>
            </w:r>
          </w:p>
        </w:tc>
        <w:tc>
          <w:tcPr>
            <w:tcW w:w="1675" w:type="dxa"/>
            <w:tcBorders>
              <w:bottom w:val="single" w:sz="4" w:space="0" w:color="auto"/>
            </w:tcBorders>
            <w:shd w:val="thinDiagCross" w:color="808080" w:fill="D9D9D9"/>
            <w:vAlign w:val="center"/>
          </w:tcPr>
          <w:p w:rsidR="00AB2A53" w:rsidRPr="00AB2A53" w:rsidRDefault="00AB2A53" w:rsidP="004C0021">
            <w:pPr>
              <w:spacing w:before="60" w:after="60"/>
              <w:jc w:val="right"/>
            </w:pPr>
          </w:p>
        </w:tc>
      </w:tr>
      <w:tr w:rsidR="00AB2A53" w:rsidRPr="00AB2A53" w:rsidTr="004C0021">
        <w:trPr>
          <w:jc w:val="center"/>
        </w:trPr>
        <w:tc>
          <w:tcPr>
            <w:tcW w:w="522" w:type="dxa"/>
            <w:tcBorders>
              <w:top w:val="nil"/>
            </w:tcBorders>
            <w:shd w:val="clear" w:color="auto" w:fill="auto"/>
          </w:tcPr>
          <w:p w:rsidR="00AB2A53" w:rsidRPr="00AB2A53" w:rsidRDefault="00AB2A53" w:rsidP="004C0021">
            <w:pPr>
              <w:spacing w:before="60" w:after="60"/>
              <w:jc w:val="center"/>
              <w:rPr>
                <w:b/>
                <w:i/>
                <w:color w:val="FF0000"/>
              </w:rPr>
            </w:pPr>
          </w:p>
        </w:tc>
        <w:tc>
          <w:tcPr>
            <w:tcW w:w="394" w:type="dxa"/>
            <w:gridSpan w:val="2"/>
            <w:tcBorders>
              <w:bottom w:val="single" w:sz="4" w:space="0" w:color="auto"/>
              <w:right w:val="single" w:sz="4" w:space="0" w:color="auto"/>
            </w:tcBorders>
            <w:shd w:val="clear" w:color="auto" w:fill="auto"/>
            <w:tcMar>
              <w:left w:w="14" w:type="dxa"/>
              <w:right w:w="0" w:type="dxa"/>
            </w:tcMar>
          </w:tcPr>
          <w:p w:rsidR="00AB2A53" w:rsidRPr="00AB2A53" w:rsidRDefault="00AB2A53" w:rsidP="004C0021">
            <w:pPr>
              <w:spacing w:before="60" w:after="60"/>
              <w:ind w:left="144"/>
              <w:jc w:val="center"/>
            </w:pPr>
            <w:r w:rsidRPr="00AB2A53">
              <w:t>a.</w:t>
            </w:r>
          </w:p>
        </w:tc>
        <w:tc>
          <w:tcPr>
            <w:tcW w:w="6714" w:type="dxa"/>
            <w:tcBorders>
              <w:left w:val="single" w:sz="4" w:space="0" w:color="auto"/>
              <w:bottom w:val="single" w:sz="4" w:space="0" w:color="auto"/>
            </w:tcBorders>
            <w:shd w:val="clear" w:color="auto" w:fill="auto"/>
            <w:vAlign w:val="center"/>
          </w:tcPr>
          <w:p w:rsidR="00AB2A53" w:rsidRPr="00AB2A53" w:rsidRDefault="00AB2A53" w:rsidP="004C0021">
            <w:pPr>
              <w:spacing w:before="60" w:after="60"/>
              <w:ind w:left="144" w:right="144"/>
            </w:pPr>
            <w:r w:rsidRPr="00AB2A53">
              <w:t>Function 51, 6100-6400: Operations and plant maintenance related to performance of the grant</w:t>
            </w:r>
          </w:p>
        </w:tc>
        <w:bookmarkStart w:id="3" w:name="Text3"/>
        <w:tc>
          <w:tcPr>
            <w:tcW w:w="1675" w:type="dxa"/>
            <w:tcBorders>
              <w:bottom w:val="single" w:sz="4" w:space="0" w:color="auto"/>
            </w:tcBorders>
            <w:shd w:val="clear" w:color="auto" w:fill="FFFFCC"/>
            <w:vAlign w:val="center"/>
          </w:tcPr>
          <w:p w:rsidR="00AB2A53" w:rsidRPr="00AB2A53" w:rsidRDefault="00B340FD" w:rsidP="00041FA3">
            <w:pPr>
              <w:spacing w:before="60" w:after="60"/>
              <w:jc w:val="right"/>
            </w:pPr>
            <w:r w:rsidRPr="00AB2A53">
              <w:fldChar w:fldCharType="begin">
                <w:ffData>
                  <w:name w:val="Text3"/>
                  <w:enabled/>
                  <w:calcOnExit/>
                  <w:textInput>
                    <w:type w:val="number"/>
                    <w:default w:val="$0.00"/>
                    <w:format w:val="$#,##0.00;($#,##0.00)"/>
                  </w:textInput>
                </w:ffData>
              </w:fldChar>
            </w:r>
            <w:r w:rsidR="00AB2A53" w:rsidRPr="00AB2A53">
              <w:instrText xml:space="preserve"> FORMTEXT </w:instrText>
            </w:r>
            <w:r w:rsidRPr="00AB2A53">
              <w:fldChar w:fldCharType="separate"/>
            </w:r>
            <w:r w:rsidR="008D6C30">
              <w:rPr>
                <w:noProof/>
              </w:rPr>
              <w:t>$0</w:t>
            </w:r>
            <w:r w:rsidR="00BA1BD1">
              <w:rPr>
                <w:noProof/>
              </w:rPr>
              <w:t>.00</w:t>
            </w:r>
            <w:r w:rsidRPr="00AB2A53">
              <w:fldChar w:fldCharType="end"/>
            </w:r>
            <w:bookmarkEnd w:id="3"/>
          </w:p>
        </w:tc>
      </w:tr>
      <w:tr w:rsidR="00AB2A53" w:rsidRPr="004C0021" w:rsidTr="004C0021">
        <w:trPr>
          <w:cantSplit/>
          <w:jc w:val="center"/>
        </w:trPr>
        <w:tc>
          <w:tcPr>
            <w:tcW w:w="522" w:type="dxa"/>
            <w:tcBorders>
              <w:bottom w:val="single" w:sz="4" w:space="0" w:color="auto"/>
            </w:tcBorders>
            <w:shd w:val="clear" w:color="auto" w:fill="auto"/>
          </w:tcPr>
          <w:p w:rsidR="00AB2A53" w:rsidRPr="00AB2A53" w:rsidRDefault="00AB2A53" w:rsidP="004C0021">
            <w:pPr>
              <w:spacing w:before="60" w:after="60"/>
              <w:jc w:val="center"/>
            </w:pPr>
            <w:r w:rsidRPr="00AB2A53">
              <w:t>3.</w:t>
            </w:r>
          </w:p>
        </w:tc>
        <w:tc>
          <w:tcPr>
            <w:tcW w:w="124" w:type="dxa"/>
            <w:tcBorders>
              <w:right w:val="nil"/>
            </w:tcBorders>
            <w:shd w:val="clear" w:color="auto" w:fill="auto"/>
          </w:tcPr>
          <w:p w:rsidR="00AB2A53" w:rsidRPr="00AB2A53" w:rsidRDefault="00AB2A53" w:rsidP="004C0021">
            <w:pPr>
              <w:spacing w:before="60" w:after="60"/>
            </w:pPr>
          </w:p>
        </w:tc>
        <w:tc>
          <w:tcPr>
            <w:tcW w:w="6984" w:type="dxa"/>
            <w:gridSpan w:val="2"/>
            <w:tcBorders>
              <w:left w:val="nil"/>
              <w:right w:val="single" w:sz="4" w:space="0" w:color="auto"/>
            </w:tcBorders>
            <w:shd w:val="clear" w:color="auto" w:fill="auto"/>
            <w:tcMar>
              <w:left w:w="0" w:type="dxa"/>
              <w:right w:w="115" w:type="dxa"/>
            </w:tcMar>
          </w:tcPr>
          <w:p w:rsidR="00AB2A53" w:rsidRPr="00AB2A53" w:rsidRDefault="00AB2A53" w:rsidP="004C0021">
            <w:pPr>
              <w:spacing w:before="60" w:after="60"/>
            </w:pPr>
            <w:r w:rsidRPr="00AB2A53">
              <w:t>Line 2a is subtracted from line 1 and the result entered here. This is your total budgeted cost less restricted rate exclusions.</w:t>
            </w:r>
          </w:p>
        </w:tc>
        <w:bookmarkStart w:id="4" w:name="Text6"/>
        <w:tc>
          <w:tcPr>
            <w:tcW w:w="1675" w:type="dxa"/>
            <w:tcBorders>
              <w:left w:val="single" w:sz="4" w:space="0" w:color="auto"/>
              <w:bottom w:val="single" w:sz="4" w:space="0" w:color="auto"/>
            </w:tcBorders>
            <w:shd w:val="clear" w:color="auto" w:fill="F2F2F2"/>
            <w:vAlign w:val="center"/>
          </w:tcPr>
          <w:p w:rsidR="00AB2A53" w:rsidRPr="00AB2A53" w:rsidRDefault="00B340FD" w:rsidP="004C0021">
            <w:pPr>
              <w:spacing w:before="60" w:after="60"/>
              <w:jc w:val="right"/>
            </w:pPr>
            <w:r w:rsidRPr="00AB2A53">
              <w:fldChar w:fldCharType="begin">
                <w:ffData>
                  <w:name w:val="Text6"/>
                  <w:enabled w:val="0"/>
                  <w:calcOnExit/>
                  <w:textInput>
                    <w:type w:val="calculated"/>
                    <w:default w:val="=D2-D4"/>
                    <w:format w:val="$#,##0.00;($#,##0.00)"/>
                  </w:textInput>
                </w:ffData>
              </w:fldChar>
            </w:r>
            <w:r w:rsidR="00AB2A53" w:rsidRPr="00AB2A53">
              <w:instrText xml:space="preserve"> FORMTEXT </w:instrText>
            </w:r>
            <w:r w:rsidRPr="00AB2A53">
              <w:fldChar w:fldCharType="begin"/>
            </w:r>
            <w:r w:rsidR="00AB2A53" w:rsidRPr="00AB2A53">
              <w:instrText xml:space="preserve"> =D2-D4 </w:instrText>
            </w:r>
            <w:r w:rsidRPr="00AB2A53">
              <w:fldChar w:fldCharType="separate"/>
            </w:r>
            <w:r w:rsidR="00041FA3">
              <w:rPr>
                <w:noProof/>
              </w:rPr>
              <w:instrText>$0.00</w:instrText>
            </w:r>
            <w:r w:rsidRPr="00AB2A53">
              <w:fldChar w:fldCharType="end"/>
            </w:r>
            <w:r w:rsidRPr="00AB2A53">
              <w:fldChar w:fldCharType="separate"/>
            </w:r>
            <w:r w:rsidR="00041FA3">
              <w:rPr>
                <w:noProof/>
              </w:rPr>
              <w:t>$0.00</w:t>
            </w:r>
            <w:r w:rsidRPr="00AB2A53">
              <w:fldChar w:fldCharType="end"/>
            </w:r>
            <w:bookmarkEnd w:id="4"/>
          </w:p>
        </w:tc>
      </w:tr>
      <w:tr w:rsidR="00AB2A53" w:rsidRPr="004C0021" w:rsidTr="004C0021">
        <w:trPr>
          <w:cantSplit/>
          <w:jc w:val="center"/>
        </w:trPr>
        <w:tc>
          <w:tcPr>
            <w:tcW w:w="522" w:type="dxa"/>
            <w:tcBorders>
              <w:bottom w:val="nil"/>
            </w:tcBorders>
            <w:shd w:val="clear" w:color="auto" w:fill="auto"/>
          </w:tcPr>
          <w:p w:rsidR="00AB2A53" w:rsidRPr="00AB2A53" w:rsidRDefault="00AB2A53" w:rsidP="004C0021">
            <w:pPr>
              <w:spacing w:before="60" w:after="60"/>
              <w:jc w:val="center"/>
            </w:pPr>
            <w:r w:rsidRPr="00AB2A53">
              <w:t>4.</w:t>
            </w:r>
          </w:p>
        </w:tc>
        <w:tc>
          <w:tcPr>
            <w:tcW w:w="124" w:type="dxa"/>
            <w:tcBorders>
              <w:right w:val="nil"/>
            </w:tcBorders>
            <w:shd w:val="clear" w:color="auto" w:fill="auto"/>
          </w:tcPr>
          <w:p w:rsidR="00AB2A53" w:rsidRPr="00AB2A53" w:rsidRDefault="00AB2A53" w:rsidP="004C0021">
            <w:pPr>
              <w:spacing w:before="60" w:after="60"/>
            </w:pPr>
          </w:p>
        </w:tc>
        <w:tc>
          <w:tcPr>
            <w:tcW w:w="6984" w:type="dxa"/>
            <w:gridSpan w:val="2"/>
            <w:tcBorders>
              <w:left w:val="nil"/>
              <w:right w:val="single" w:sz="4" w:space="0" w:color="auto"/>
            </w:tcBorders>
            <w:shd w:val="clear" w:color="auto" w:fill="auto"/>
            <w:tcMar>
              <w:left w:w="0" w:type="dxa"/>
              <w:right w:w="115" w:type="dxa"/>
            </w:tcMar>
          </w:tcPr>
          <w:p w:rsidR="00AB2A53" w:rsidRPr="00AB2A53" w:rsidRDefault="00AB2A53" w:rsidP="004C0021">
            <w:pPr>
              <w:spacing w:before="60" w:after="60"/>
            </w:pPr>
            <w:r w:rsidRPr="00AB2A53">
              <w:t>The total budgeted cost less restricted rate exclusions includes costs that all grantees must exclude from the indirect cost calculation. If the following costs are budgeted in your application, enter the budgeted amount(s) on lines 4a–4e:</w:t>
            </w:r>
          </w:p>
        </w:tc>
        <w:tc>
          <w:tcPr>
            <w:tcW w:w="1675" w:type="dxa"/>
            <w:tcBorders>
              <w:top w:val="single" w:sz="4" w:space="0" w:color="auto"/>
              <w:left w:val="single" w:sz="4" w:space="0" w:color="auto"/>
              <w:bottom w:val="single" w:sz="4" w:space="0" w:color="auto"/>
            </w:tcBorders>
            <w:shd w:val="thinDiagCross" w:color="808080" w:fill="D9D9D9"/>
            <w:vAlign w:val="center"/>
          </w:tcPr>
          <w:p w:rsidR="00AB2A53" w:rsidRPr="00AB2A53" w:rsidRDefault="00AB2A53" w:rsidP="004C0021">
            <w:pPr>
              <w:spacing w:before="60" w:after="60"/>
              <w:jc w:val="right"/>
              <w:rPr>
                <w:b/>
                <w:i/>
              </w:rPr>
            </w:pPr>
          </w:p>
        </w:tc>
      </w:tr>
      <w:tr w:rsidR="00AB2A53" w:rsidRPr="00AB2A53" w:rsidTr="004C0021">
        <w:trPr>
          <w:jc w:val="center"/>
        </w:trPr>
        <w:tc>
          <w:tcPr>
            <w:tcW w:w="522" w:type="dxa"/>
            <w:tcBorders>
              <w:top w:val="nil"/>
              <w:bottom w:val="nil"/>
            </w:tcBorders>
            <w:shd w:val="clear" w:color="auto" w:fill="auto"/>
          </w:tcPr>
          <w:p w:rsidR="00AB2A53" w:rsidRPr="00AB2A53" w:rsidRDefault="00AB2A53" w:rsidP="004C0021">
            <w:pPr>
              <w:spacing w:before="60" w:after="60"/>
              <w:jc w:val="center"/>
            </w:pPr>
          </w:p>
        </w:tc>
        <w:tc>
          <w:tcPr>
            <w:tcW w:w="394" w:type="dxa"/>
            <w:gridSpan w:val="2"/>
            <w:shd w:val="clear" w:color="auto" w:fill="auto"/>
            <w:vAlign w:val="center"/>
          </w:tcPr>
          <w:p w:rsidR="00AB2A53" w:rsidRPr="00AB2A53" w:rsidRDefault="00AB2A53" w:rsidP="004C0021">
            <w:pPr>
              <w:spacing w:before="60" w:after="60"/>
              <w:ind w:left="144"/>
            </w:pPr>
            <w:r w:rsidRPr="00AB2A53">
              <w:t>a.</w:t>
            </w:r>
          </w:p>
        </w:tc>
        <w:tc>
          <w:tcPr>
            <w:tcW w:w="6714" w:type="dxa"/>
            <w:shd w:val="clear" w:color="auto" w:fill="auto"/>
            <w:vAlign w:val="center"/>
          </w:tcPr>
          <w:p w:rsidR="00AB2A53" w:rsidRPr="00AB2A53" w:rsidRDefault="00AB2A53" w:rsidP="004C0021">
            <w:pPr>
              <w:spacing w:before="60" w:after="60"/>
              <w:ind w:right="72"/>
              <w:jc w:val="right"/>
            </w:pPr>
            <w:r w:rsidRPr="00AB2A53">
              <w:t>The portion of each subcontract</w:t>
            </w:r>
            <w:r w:rsidRPr="00AB2A53">
              <w:rPr>
                <w:b/>
              </w:rPr>
              <w:t>*</w:t>
            </w:r>
            <w:r w:rsidRPr="00AB2A53">
              <w:t xml:space="preserve"> that is in excess of $25,000 (6219)</w:t>
            </w:r>
          </w:p>
        </w:tc>
        <w:tc>
          <w:tcPr>
            <w:tcW w:w="1675" w:type="dxa"/>
            <w:shd w:val="clear" w:color="auto" w:fill="FFFFCC"/>
            <w:vAlign w:val="center"/>
          </w:tcPr>
          <w:p w:rsidR="00AB2A53" w:rsidRPr="00AB2A53" w:rsidRDefault="00B340FD" w:rsidP="00041FA3">
            <w:pPr>
              <w:spacing w:before="60" w:after="60"/>
              <w:jc w:val="right"/>
            </w:pPr>
            <w:r w:rsidRPr="00AB2A53">
              <w:fldChar w:fldCharType="begin">
                <w:ffData>
                  <w:name w:val="Text3"/>
                  <w:enabled/>
                  <w:calcOnExit/>
                  <w:textInput>
                    <w:type w:val="number"/>
                    <w:default w:val="$0.00"/>
                    <w:format w:val="$#,##0.00;($#,##0.00)"/>
                  </w:textInput>
                </w:ffData>
              </w:fldChar>
            </w:r>
            <w:r w:rsidR="00AB2A53" w:rsidRPr="00AB2A53">
              <w:instrText xml:space="preserve"> FORMTEXT </w:instrText>
            </w:r>
            <w:r w:rsidRPr="00AB2A53">
              <w:fldChar w:fldCharType="separate"/>
            </w:r>
            <w:r w:rsidR="00041FA3">
              <w:rPr>
                <w:noProof/>
              </w:rPr>
              <w:t>$</w:t>
            </w:r>
            <w:r w:rsidR="00AB2A53" w:rsidRPr="00AB2A53">
              <w:rPr>
                <w:noProof/>
              </w:rPr>
              <w:t>0.00</w:t>
            </w:r>
            <w:r w:rsidRPr="00AB2A53">
              <w:fldChar w:fldCharType="end"/>
            </w:r>
          </w:p>
        </w:tc>
      </w:tr>
      <w:tr w:rsidR="00AB2A53" w:rsidRPr="00AB2A53" w:rsidTr="00654EDA">
        <w:trPr>
          <w:jc w:val="center"/>
        </w:trPr>
        <w:tc>
          <w:tcPr>
            <w:tcW w:w="522" w:type="dxa"/>
            <w:tcBorders>
              <w:top w:val="nil"/>
              <w:bottom w:val="nil"/>
            </w:tcBorders>
            <w:shd w:val="clear" w:color="auto" w:fill="auto"/>
          </w:tcPr>
          <w:p w:rsidR="00AB2A53" w:rsidRPr="00AB2A53" w:rsidRDefault="00AB2A53" w:rsidP="004C0021">
            <w:pPr>
              <w:spacing w:before="60" w:after="60"/>
              <w:jc w:val="center"/>
            </w:pPr>
          </w:p>
        </w:tc>
        <w:tc>
          <w:tcPr>
            <w:tcW w:w="394" w:type="dxa"/>
            <w:gridSpan w:val="2"/>
            <w:shd w:val="clear" w:color="auto" w:fill="auto"/>
            <w:vAlign w:val="center"/>
          </w:tcPr>
          <w:p w:rsidR="00AB2A53" w:rsidRPr="00AB2A53" w:rsidRDefault="00AB2A53" w:rsidP="004C0021">
            <w:pPr>
              <w:spacing w:before="60" w:after="60"/>
              <w:ind w:left="144"/>
            </w:pPr>
            <w:r w:rsidRPr="00AB2A53">
              <w:t>b.</w:t>
            </w:r>
          </w:p>
        </w:tc>
        <w:tc>
          <w:tcPr>
            <w:tcW w:w="6714" w:type="dxa"/>
            <w:shd w:val="clear" w:color="auto" w:fill="auto"/>
            <w:vAlign w:val="center"/>
          </w:tcPr>
          <w:p w:rsidR="00AB2A53" w:rsidRPr="00AB2A53" w:rsidRDefault="00AB2A53" w:rsidP="004C0021">
            <w:pPr>
              <w:spacing w:before="60" w:after="60"/>
              <w:ind w:right="72"/>
              <w:jc w:val="right"/>
            </w:pPr>
            <w:r w:rsidRPr="00AB2A53">
              <w:t>Subgrants,</w:t>
            </w:r>
            <w:r w:rsidRPr="00AB2A53">
              <w:rPr>
                <w:b/>
              </w:rPr>
              <w:t>*</w:t>
            </w:r>
            <w:r w:rsidRPr="00AB2A53">
              <w:t xml:space="preserve"> regardless of dollar amount (6290)</w:t>
            </w:r>
          </w:p>
        </w:tc>
        <w:tc>
          <w:tcPr>
            <w:tcW w:w="1675" w:type="dxa"/>
            <w:shd w:val="clear" w:color="auto" w:fill="FFFFCC"/>
            <w:vAlign w:val="center"/>
          </w:tcPr>
          <w:p w:rsidR="00AB2A53" w:rsidRPr="00AB2A53" w:rsidRDefault="00B340FD" w:rsidP="004C0021">
            <w:pPr>
              <w:spacing w:before="60" w:after="60"/>
              <w:jc w:val="right"/>
            </w:pPr>
            <w:r w:rsidRPr="00AB2A53">
              <w:fldChar w:fldCharType="begin">
                <w:ffData>
                  <w:name w:val="Text3"/>
                  <w:enabled/>
                  <w:calcOnExit/>
                  <w:textInput>
                    <w:type w:val="number"/>
                    <w:default w:val="$0.00"/>
                    <w:format w:val="$#,##0.00;($#,##0.00)"/>
                  </w:textInput>
                </w:ffData>
              </w:fldChar>
            </w:r>
            <w:r w:rsidR="00AB2A53" w:rsidRPr="00AB2A53">
              <w:instrText xml:space="preserve"> FORMTEXT </w:instrText>
            </w:r>
            <w:r w:rsidRPr="00AB2A53">
              <w:fldChar w:fldCharType="separate"/>
            </w:r>
            <w:r w:rsidR="00AB2A53" w:rsidRPr="00AB2A53">
              <w:rPr>
                <w:noProof/>
              </w:rPr>
              <w:t>$0.00</w:t>
            </w:r>
            <w:r w:rsidRPr="00AB2A53">
              <w:fldChar w:fldCharType="end"/>
            </w:r>
          </w:p>
        </w:tc>
      </w:tr>
      <w:tr w:rsidR="00AB2A53" w:rsidRPr="00AB2A53" w:rsidTr="00654EDA">
        <w:trPr>
          <w:jc w:val="center"/>
        </w:trPr>
        <w:tc>
          <w:tcPr>
            <w:tcW w:w="522" w:type="dxa"/>
            <w:tcBorders>
              <w:top w:val="nil"/>
              <w:bottom w:val="single" w:sz="4" w:space="0" w:color="auto"/>
            </w:tcBorders>
            <w:shd w:val="clear" w:color="auto" w:fill="auto"/>
          </w:tcPr>
          <w:p w:rsidR="00AB2A53" w:rsidRPr="00AB2A53" w:rsidRDefault="00AB2A53" w:rsidP="004C0021">
            <w:pPr>
              <w:spacing w:before="60" w:after="60"/>
              <w:jc w:val="center"/>
            </w:pPr>
          </w:p>
        </w:tc>
        <w:tc>
          <w:tcPr>
            <w:tcW w:w="394" w:type="dxa"/>
            <w:gridSpan w:val="2"/>
            <w:shd w:val="clear" w:color="auto" w:fill="auto"/>
            <w:vAlign w:val="center"/>
          </w:tcPr>
          <w:p w:rsidR="00AB2A53" w:rsidRPr="00AB2A53" w:rsidRDefault="00AB2A53" w:rsidP="004C0021">
            <w:pPr>
              <w:spacing w:before="60" w:after="60"/>
              <w:ind w:left="144"/>
            </w:pPr>
            <w:r w:rsidRPr="00AB2A53">
              <w:t>c.</w:t>
            </w:r>
          </w:p>
        </w:tc>
        <w:tc>
          <w:tcPr>
            <w:tcW w:w="6714" w:type="dxa"/>
            <w:shd w:val="clear" w:color="auto" w:fill="auto"/>
            <w:vAlign w:val="center"/>
          </w:tcPr>
          <w:p w:rsidR="00AB2A53" w:rsidRPr="00AB2A53" w:rsidRDefault="00AB2A53" w:rsidP="004C0021">
            <w:pPr>
              <w:spacing w:before="60" w:after="60"/>
              <w:ind w:right="72"/>
              <w:jc w:val="right"/>
            </w:pPr>
            <w:r w:rsidRPr="00AB2A53">
              <w:t>Debt service (6500)</w:t>
            </w:r>
          </w:p>
        </w:tc>
        <w:tc>
          <w:tcPr>
            <w:tcW w:w="1675" w:type="dxa"/>
            <w:shd w:val="clear" w:color="auto" w:fill="FFFFCC"/>
            <w:vAlign w:val="center"/>
          </w:tcPr>
          <w:p w:rsidR="00AB2A53" w:rsidRPr="00AB2A53" w:rsidRDefault="00B340FD" w:rsidP="004C0021">
            <w:pPr>
              <w:spacing w:before="60" w:after="60"/>
              <w:jc w:val="right"/>
            </w:pPr>
            <w:r w:rsidRPr="00AB2A53">
              <w:fldChar w:fldCharType="begin">
                <w:ffData>
                  <w:name w:val="Text3"/>
                  <w:enabled/>
                  <w:calcOnExit/>
                  <w:textInput>
                    <w:type w:val="number"/>
                    <w:default w:val="$0.00"/>
                    <w:format w:val="$#,##0.00;($#,##0.00)"/>
                  </w:textInput>
                </w:ffData>
              </w:fldChar>
            </w:r>
            <w:r w:rsidR="00AB2A53" w:rsidRPr="00AB2A53">
              <w:instrText xml:space="preserve"> FORMTEXT </w:instrText>
            </w:r>
            <w:r w:rsidRPr="00AB2A53">
              <w:fldChar w:fldCharType="separate"/>
            </w:r>
            <w:r w:rsidR="00AB2A53" w:rsidRPr="00AB2A53">
              <w:rPr>
                <w:noProof/>
              </w:rPr>
              <w:t>$0.00</w:t>
            </w:r>
            <w:r w:rsidRPr="00AB2A53">
              <w:fldChar w:fldCharType="end"/>
            </w:r>
          </w:p>
        </w:tc>
      </w:tr>
      <w:tr w:rsidR="00AB2A53" w:rsidRPr="00AB2A53" w:rsidTr="00654EDA">
        <w:trPr>
          <w:jc w:val="center"/>
        </w:trPr>
        <w:tc>
          <w:tcPr>
            <w:tcW w:w="522" w:type="dxa"/>
            <w:tcBorders>
              <w:top w:val="single" w:sz="4" w:space="0" w:color="auto"/>
              <w:bottom w:val="nil"/>
            </w:tcBorders>
            <w:shd w:val="clear" w:color="auto" w:fill="auto"/>
          </w:tcPr>
          <w:p w:rsidR="00AB2A53" w:rsidRPr="00AB2A53" w:rsidRDefault="00654EDA" w:rsidP="004C0021">
            <w:pPr>
              <w:spacing w:before="60" w:after="60"/>
              <w:jc w:val="center"/>
            </w:pPr>
            <w:r>
              <w:t>4.</w:t>
            </w:r>
          </w:p>
        </w:tc>
        <w:tc>
          <w:tcPr>
            <w:tcW w:w="394" w:type="dxa"/>
            <w:gridSpan w:val="2"/>
            <w:shd w:val="clear" w:color="auto" w:fill="auto"/>
            <w:vAlign w:val="center"/>
          </w:tcPr>
          <w:p w:rsidR="00AB2A53" w:rsidRPr="00AB2A53" w:rsidRDefault="00AB2A53" w:rsidP="004C0021">
            <w:pPr>
              <w:spacing w:before="60" w:after="60"/>
              <w:ind w:left="144"/>
            </w:pPr>
            <w:r w:rsidRPr="00AB2A53">
              <w:t>d.</w:t>
            </w:r>
          </w:p>
        </w:tc>
        <w:tc>
          <w:tcPr>
            <w:tcW w:w="6714" w:type="dxa"/>
            <w:shd w:val="clear" w:color="auto" w:fill="auto"/>
            <w:vAlign w:val="center"/>
          </w:tcPr>
          <w:p w:rsidR="00AB2A53" w:rsidRPr="00AB2A53" w:rsidRDefault="00AB2A53" w:rsidP="004C0021">
            <w:pPr>
              <w:spacing w:before="60" w:after="60"/>
              <w:ind w:right="72"/>
              <w:jc w:val="right"/>
            </w:pPr>
            <w:r w:rsidRPr="00AB2A53">
              <w:t>Capital outlay (6600)</w:t>
            </w:r>
          </w:p>
        </w:tc>
        <w:tc>
          <w:tcPr>
            <w:tcW w:w="1675" w:type="dxa"/>
            <w:shd w:val="clear" w:color="auto" w:fill="FFFFCC"/>
            <w:vAlign w:val="center"/>
          </w:tcPr>
          <w:p w:rsidR="00AB2A53" w:rsidRPr="00AB2A53" w:rsidRDefault="00B340FD" w:rsidP="004C0021">
            <w:pPr>
              <w:spacing w:before="60" w:after="60"/>
              <w:jc w:val="right"/>
            </w:pPr>
            <w:r w:rsidRPr="00AB2A53">
              <w:fldChar w:fldCharType="begin">
                <w:ffData>
                  <w:name w:val="Text3"/>
                  <w:enabled/>
                  <w:calcOnExit/>
                  <w:textInput>
                    <w:type w:val="number"/>
                    <w:default w:val="$0.00"/>
                    <w:format w:val="$#,##0.00;($#,##0.00)"/>
                  </w:textInput>
                </w:ffData>
              </w:fldChar>
            </w:r>
            <w:r w:rsidR="00AB2A53" w:rsidRPr="00AB2A53">
              <w:instrText xml:space="preserve"> FORMTEXT </w:instrText>
            </w:r>
            <w:r w:rsidRPr="00AB2A53">
              <w:fldChar w:fldCharType="separate"/>
            </w:r>
            <w:r w:rsidR="00AB2A53" w:rsidRPr="00AB2A53">
              <w:rPr>
                <w:noProof/>
              </w:rPr>
              <w:t>$0.00</w:t>
            </w:r>
            <w:r w:rsidRPr="00AB2A53">
              <w:fldChar w:fldCharType="end"/>
            </w:r>
          </w:p>
        </w:tc>
      </w:tr>
      <w:tr w:rsidR="00AB2A53" w:rsidRPr="00AB2A53" w:rsidTr="004C0021">
        <w:trPr>
          <w:jc w:val="center"/>
        </w:trPr>
        <w:tc>
          <w:tcPr>
            <w:tcW w:w="522" w:type="dxa"/>
            <w:tcBorders>
              <w:top w:val="nil"/>
              <w:bottom w:val="nil"/>
            </w:tcBorders>
            <w:shd w:val="clear" w:color="auto" w:fill="auto"/>
          </w:tcPr>
          <w:p w:rsidR="00AB2A53" w:rsidRPr="00AB2A53" w:rsidRDefault="00AB2A53" w:rsidP="004C0021">
            <w:pPr>
              <w:spacing w:before="60" w:after="60"/>
              <w:jc w:val="center"/>
            </w:pPr>
          </w:p>
        </w:tc>
        <w:tc>
          <w:tcPr>
            <w:tcW w:w="394" w:type="dxa"/>
            <w:gridSpan w:val="2"/>
            <w:shd w:val="clear" w:color="auto" w:fill="auto"/>
            <w:vAlign w:val="center"/>
          </w:tcPr>
          <w:p w:rsidR="00AB2A53" w:rsidRPr="00AB2A53" w:rsidRDefault="00AB2A53" w:rsidP="004C0021">
            <w:pPr>
              <w:spacing w:before="60" w:after="60"/>
              <w:ind w:left="144"/>
            </w:pPr>
            <w:r w:rsidRPr="00AB2A53">
              <w:t>e.</w:t>
            </w:r>
          </w:p>
        </w:tc>
        <w:tc>
          <w:tcPr>
            <w:tcW w:w="6714" w:type="dxa"/>
            <w:shd w:val="clear" w:color="auto" w:fill="auto"/>
            <w:vAlign w:val="center"/>
          </w:tcPr>
          <w:p w:rsidR="00AB2A53" w:rsidRPr="00AB2A53" w:rsidRDefault="00AB2A53" w:rsidP="004C0021">
            <w:pPr>
              <w:spacing w:before="60" w:after="60"/>
              <w:ind w:right="72"/>
              <w:jc w:val="right"/>
            </w:pPr>
            <w:r w:rsidRPr="00AB2A53">
              <w:t>Building purchase, construction, or improvements (6620)</w:t>
            </w:r>
          </w:p>
        </w:tc>
        <w:tc>
          <w:tcPr>
            <w:tcW w:w="1675" w:type="dxa"/>
            <w:tcBorders>
              <w:bottom w:val="single" w:sz="4" w:space="0" w:color="auto"/>
            </w:tcBorders>
            <w:shd w:val="clear" w:color="auto" w:fill="FFFFCC"/>
            <w:vAlign w:val="center"/>
          </w:tcPr>
          <w:p w:rsidR="00AB2A53" w:rsidRPr="00AB2A53" w:rsidRDefault="00B340FD" w:rsidP="004C0021">
            <w:pPr>
              <w:spacing w:before="60" w:after="60"/>
              <w:jc w:val="right"/>
            </w:pPr>
            <w:r w:rsidRPr="00AB2A53">
              <w:fldChar w:fldCharType="begin">
                <w:ffData>
                  <w:name w:val="Text3"/>
                  <w:enabled/>
                  <w:calcOnExit/>
                  <w:textInput>
                    <w:type w:val="number"/>
                    <w:default w:val="$0.00"/>
                    <w:format w:val="$#,##0.00;($#,##0.00)"/>
                  </w:textInput>
                </w:ffData>
              </w:fldChar>
            </w:r>
            <w:r w:rsidR="00AB2A53" w:rsidRPr="00AB2A53">
              <w:instrText xml:space="preserve"> FORMTEXT </w:instrText>
            </w:r>
            <w:r w:rsidRPr="00AB2A53">
              <w:fldChar w:fldCharType="separate"/>
            </w:r>
            <w:r w:rsidR="00AB2A53" w:rsidRPr="00AB2A53">
              <w:rPr>
                <w:noProof/>
              </w:rPr>
              <w:t>$0.00</w:t>
            </w:r>
            <w:r w:rsidRPr="00AB2A53">
              <w:fldChar w:fldCharType="end"/>
            </w:r>
          </w:p>
        </w:tc>
      </w:tr>
      <w:tr w:rsidR="00AB2A53" w:rsidRPr="004C0021" w:rsidTr="004C0021">
        <w:trPr>
          <w:jc w:val="center"/>
        </w:trPr>
        <w:tc>
          <w:tcPr>
            <w:tcW w:w="522" w:type="dxa"/>
            <w:tcBorders>
              <w:top w:val="single" w:sz="4" w:space="0" w:color="auto"/>
            </w:tcBorders>
            <w:shd w:val="clear" w:color="auto" w:fill="auto"/>
          </w:tcPr>
          <w:p w:rsidR="00AB2A53" w:rsidRPr="00AB2A53" w:rsidRDefault="00AB2A53" w:rsidP="004C0021">
            <w:pPr>
              <w:spacing w:before="60" w:after="60"/>
              <w:jc w:val="center"/>
            </w:pPr>
            <w:r w:rsidRPr="00AB2A53">
              <w:t>5.</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tcMar>
              <w:left w:w="0" w:type="dxa"/>
              <w:right w:w="115" w:type="dxa"/>
            </w:tcMar>
            <w:vAlign w:val="center"/>
          </w:tcPr>
          <w:p w:rsidR="00AB2A53" w:rsidRPr="00AB2A53" w:rsidRDefault="00AB2A53" w:rsidP="004C0021">
            <w:pPr>
              <w:spacing w:before="60" w:after="60"/>
            </w:pPr>
            <w:r w:rsidRPr="00AB2A53">
              <w:t>The excluded costs listed in lines 4a–4e are added and their total entered here.</w:t>
            </w:r>
          </w:p>
        </w:tc>
        <w:bookmarkStart w:id="5" w:name="Text7"/>
        <w:tc>
          <w:tcPr>
            <w:tcW w:w="1675" w:type="dxa"/>
            <w:tcBorders>
              <w:bottom w:val="single" w:sz="4" w:space="0" w:color="auto"/>
            </w:tcBorders>
            <w:shd w:val="clear" w:color="auto" w:fill="F2F2F2"/>
            <w:vAlign w:val="center"/>
          </w:tcPr>
          <w:p w:rsidR="00AB2A53" w:rsidRPr="00AB2A53" w:rsidRDefault="00B340FD" w:rsidP="004C0021">
            <w:pPr>
              <w:spacing w:before="60" w:after="60"/>
              <w:jc w:val="right"/>
            </w:pPr>
            <w:r w:rsidRPr="00AB2A53">
              <w:fldChar w:fldCharType="begin">
                <w:ffData>
                  <w:name w:val="Text7"/>
                  <w:enabled w:val="0"/>
                  <w:calcOnExit/>
                  <w:textInput>
                    <w:type w:val="calculated"/>
                    <w:default w:val="=SUM(D7,D8,D9,D10,D11)"/>
                    <w:format w:val="$#,##0.00;($#,##0.00)"/>
                  </w:textInput>
                </w:ffData>
              </w:fldChar>
            </w:r>
            <w:r w:rsidR="00AB2A53" w:rsidRPr="00AB2A53">
              <w:instrText xml:space="preserve"> FORMTEXT </w:instrText>
            </w:r>
            <w:r w:rsidRPr="00AB2A53">
              <w:fldChar w:fldCharType="begin"/>
            </w:r>
            <w:r w:rsidR="00AB2A53" w:rsidRPr="00AB2A53">
              <w:instrText xml:space="preserve"> =SUM(D7,D8,D9,D10,D11) </w:instrText>
            </w:r>
            <w:r w:rsidRPr="00AB2A53">
              <w:fldChar w:fldCharType="separate"/>
            </w:r>
            <w:r w:rsidR="00041FA3">
              <w:rPr>
                <w:noProof/>
              </w:rPr>
              <w:instrText>$0.00</w:instrText>
            </w:r>
            <w:r w:rsidRPr="00AB2A53">
              <w:fldChar w:fldCharType="end"/>
            </w:r>
            <w:r w:rsidRPr="00AB2A53">
              <w:fldChar w:fldCharType="separate"/>
            </w:r>
            <w:r w:rsidR="00041FA3">
              <w:rPr>
                <w:noProof/>
              </w:rPr>
              <w:t>$0.00</w:t>
            </w:r>
            <w:r w:rsidRPr="00AB2A53">
              <w:fldChar w:fldCharType="end"/>
            </w:r>
            <w:bookmarkEnd w:id="5"/>
          </w:p>
        </w:tc>
      </w:tr>
      <w:tr w:rsidR="00AB2A53" w:rsidRPr="004C0021" w:rsidTr="009A2312">
        <w:trPr>
          <w:cantSplit/>
          <w:jc w:val="center"/>
        </w:trPr>
        <w:tc>
          <w:tcPr>
            <w:tcW w:w="522" w:type="dxa"/>
            <w:tcBorders>
              <w:bottom w:val="single" w:sz="4" w:space="0" w:color="auto"/>
            </w:tcBorders>
            <w:shd w:val="clear" w:color="auto" w:fill="auto"/>
          </w:tcPr>
          <w:p w:rsidR="00AB2A53" w:rsidRPr="00AB2A53" w:rsidRDefault="00AB2A53" w:rsidP="004C0021">
            <w:pPr>
              <w:spacing w:before="60" w:after="60"/>
              <w:jc w:val="center"/>
            </w:pPr>
            <w:r w:rsidRPr="00AB2A53">
              <w:lastRenderedPageBreak/>
              <w:t>6.</w:t>
            </w:r>
          </w:p>
        </w:tc>
        <w:tc>
          <w:tcPr>
            <w:tcW w:w="124" w:type="dxa"/>
            <w:tcBorders>
              <w:bottom w:val="single" w:sz="4" w:space="0" w:color="auto"/>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tcMar>
              <w:left w:w="0" w:type="dxa"/>
              <w:right w:w="115" w:type="dxa"/>
            </w:tcMar>
            <w:vAlign w:val="center"/>
          </w:tcPr>
          <w:p w:rsidR="00AB2A53" w:rsidRPr="00AB2A53" w:rsidRDefault="00AB2A53" w:rsidP="004C0021">
            <w:pPr>
              <w:spacing w:before="60" w:after="60"/>
              <w:rPr>
                <w:b/>
              </w:rPr>
            </w:pPr>
            <w:r w:rsidRPr="00AB2A53">
              <w:t>Line 5 is subtracted from line 3 and the result entered here.</w:t>
            </w:r>
          </w:p>
          <w:p w:rsidR="00AB2A53" w:rsidRPr="00AB2A53" w:rsidRDefault="00AB2A53" w:rsidP="004C0021">
            <w:pPr>
              <w:spacing w:before="60" w:after="60"/>
              <w:rPr>
                <w:b/>
              </w:rPr>
            </w:pPr>
            <w:r w:rsidRPr="00AB2A53">
              <w:rPr>
                <w:b/>
              </w:rPr>
              <w:t xml:space="preserve">ISDs, ESCs, and </w:t>
            </w:r>
            <w:r w:rsidRPr="00AB2A53">
              <w:rPr>
                <w:b/>
                <w:i/>
              </w:rPr>
              <w:t>all</w:t>
            </w:r>
            <w:r w:rsidRPr="00AB2A53">
              <w:rPr>
                <w:b/>
              </w:rPr>
              <w:t xml:space="preserve"> open-enrollment charter schools will use this result as their modified total direct cost. Skip to line 13, where this result is entered.</w:t>
            </w:r>
          </w:p>
        </w:tc>
        <w:bookmarkStart w:id="6" w:name="Text8"/>
        <w:tc>
          <w:tcPr>
            <w:tcW w:w="1675" w:type="dxa"/>
            <w:tcBorders>
              <w:bottom w:val="single" w:sz="4" w:space="0" w:color="auto"/>
            </w:tcBorders>
            <w:shd w:val="clear" w:color="auto" w:fill="F2F2F2"/>
            <w:vAlign w:val="center"/>
          </w:tcPr>
          <w:p w:rsidR="00AB2A53" w:rsidRPr="00AB2A53" w:rsidRDefault="00B340FD" w:rsidP="004C0021">
            <w:pPr>
              <w:spacing w:before="60" w:after="60"/>
              <w:jc w:val="right"/>
            </w:pPr>
            <w:r w:rsidRPr="00AB2A53">
              <w:fldChar w:fldCharType="begin">
                <w:ffData>
                  <w:name w:val="Text8"/>
                  <w:enabled w:val="0"/>
                  <w:calcOnExit w:val="0"/>
                  <w:textInput>
                    <w:type w:val="calculated"/>
                    <w:default w:val="=D5-D12"/>
                    <w:format w:val="$#,##0.00;($#,##0.00)"/>
                  </w:textInput>
                </w:ffData>
              </w:fldChar>
            </w:r>
            <w:r w:rsidR="00AB2A53" w:rsidRPr="00AB2A53">
              <w:instrText xml:space="preserve"> FORMTEXT </w:instrText>
            </w:r>
            <w:r w:rsidRPr="00AB2A53">
              <w:fldChar w:fldCharType="begin"/>
            </w:r>
            <w:r w:rsidR="00AB2A53" w:rsidRPr="00AB2A53">
              <w:instrText xml:space="preserve"> =D5-D12 </w:instrText>
            </w:r>
            <w:r w:rsidRPr="00AB2A53">
              <w:fldChar w:fldCharType="separate"/>
            </w:r>
            <w:r w:rsidR="00041FA3">
              <w:rPr>
                <w:noProof/>
              </w:rPr>
              <w:instrText>$0.00</w:instrText>
            </w:r>
            <w:r w:rsidRPr="00AB2A53">
              <w:fldChar w:fldCharType="end"/>
            </w:r>
            <w:r w:rsidRPr="00AB2A53">
              <w:fldChar w:fldCharType="separate"/>
            </w:r>
            <w:r w:rsidR="00041FA3">
              <w:rPr>
                <w:noProof/>
              </w:rPr>
              <w:t>$0.00</w:t>
            </w:r>
            <w:r w:rsidRPr="00AB2A53">
              <w:fldChar w:fldCharType="end"/>
            </w:r>
            <w:bookmarkEnd w:id="6"/>
          </w:p>
        </w:tc>
      </w:tr>
      <w:tr w:rsidR="00AB2A53" w:rsidRPr="004C0021" w:rsidTr="004C0021">
        <w:trPr>
          <w:jc w:val="center"/>
        </w:trPr>
        <w:tc>
          <w:tcPr>
            <w:tcW w:w="522" w:type="dxa"/>
            <w:tcBorders>
              <w:bottom w:val="nil"/>
            </w:tcBorders>
            <w:shd w:val="clear" w:color="auto" w:fill="auto"/>
          </w:tcPr>
          <w:p w:rsidR="00AB2A53" w:rsidRPr="00654EDA" w:rsidRDefault="00AB2A53" w:rsidP="004C0021">
            <w:pPr>
              <w:spacing w:before="60" w:after="60"/>
              <w:jc w:val="center"/>
            </w:pPr>
            <w:r w:rsidRPr="00654EDA">
              <w:t>7.</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tcMar>
              <w:left w:w="0" w:type="dxa"/>
              <w:right w:w="115" w:type="dxa"/>
            </w:tcMar>
            <w:vAlign w:val="center"/>
          </w:tcPr>
          <w:p w:rsidR="00AB2A53" w:rsidRPr="00AB2A53" w:rsidRDefault="00AB2A53" w:rsidP="004C0021">
            <w:pPr>
              <w:spacing w:before="60" w:after="60"/>
            </w:pPr>
            <w:r w:rsidRPr="00AB2A53">
              <w:t>IHEs and NPOs must exclude additional costs.</w:t>
            </w:r>
          </w:p>
          <w:p w:rsidR="00AB2A53" w:rsidRPr="00AB2A53" w:rsidRDefault="00AB2A53" w:rsidP="004C0021">
            <w:pPr>
              <w:spacing w:before="60" w:after="60"/>
            </w:pPr>
            <w:r w:rsidRPr="00AB2A53">
              <w:t>If you are one of those entity types and the following costs are budgeted in your application, enter the budgeted amount(s):</w:t>
            </w:r>
          </w:p>
        </w:tc>
        <w:tc>
          <w:tcPr>
            <w:tcW w:w="1675" w:type="dxa"/>
            <w:tcBorders>
              <w:bottom w:val="single" w:sz="4" w:space="0" w:color="auto"/>
            </w:tcBorders>
            <w:shd w:val="thinDiagCross" w:color="808080" w:fill="D9D9D9"/>
            <w:vAlign w:val="center"/>
          </w:tcPr>
          <w:p w:rsidR="00AB2A53" w:rsidRPr="00AB2A53" w:rsidRDefault="00AB2A53" w:rsidP="004C0021">
            <w:pPr>
              <w:spacing w:before="60" w:after="60"/>
              <w:jc w:val="right"/>
              <w:rPr>
                <w:b/>
                <w:i/>
              </w:rPr>
            </w:pPr>
          </w:p>
        </w:tc>
      </w:tr>
      <w:tr w:rsidR="00AB2A53" w:rsidRPr="00AB2A53" w:rsidTr="004C0021">
        <w:trPr>
          <w:jc w:val="center"/>
        </w:trPr>
        <w:tc>
          <w:tcPr>
            <w:tcW w:w="522" w:type="dxa"/>
            <w:tcBorders>
              <w:top w:val="nil"/>
              <w:bottom w:val="nil"/>
            </w:tcBorders>
            <w:shd w:val="clear" w:color="auto" w:fill="auto"/>
          </w:tcPr>
          <w:p w:rsidR="00AB2A53" w:rsidRPr="00654EDA" w:rsidRDefault="00AB2A53" w:rsidP="004C0021">
            <w:pPr>
              <w:spacing w:before="60" w:after="60"/>
              <w:jc w:val="center"/>
              <w:rPr>
                <w:b/>
              </w:rPr>
            </w:pPr>
          </w:p>
        </w:tc>
        <w:tc>
          <w:tcPr>
            <w:tcW w:w="394" w:type="dxa"/>
            <w:gridSpan w:val="2"/>
            <w:shd w:val="clear" w:color="auto" w:fill="auto"/>
            <w:vAlign w:val="center"/>
          </w:tcPr>
          <w:p w:rsidR="00AB2A53" w:rsidRPr="00AB2A53" w:rsidRDefault="00AB2A53" w:rsidP="004C0021">
            <w:pPr>
              <w:spacing w:before="60" w:after="60"/>
              <w:ind w:left="144"/>
            </w:pPr>
            <w:r w:rsidRPr="00AB2A53">
              <w:t>a.</w:t>
            </w:r>
          </w:p>
        </w:tc>
        <w:tc>
          <w:tcPr>
            <w:tcW w:w="6714" w:type="dxa"/>
            <w:shd w:val="clear" w:color="auto" w:fill="auto"/>
            <w:vAlign w:val="center"/>
          </w:tcPr>
          <w:p w:rsidR="00AB2A53" w:rsidRPr="00AB2A53" w:rsidRDefault="00AB2A53" w:rsidP="004C0021">
            <w:pPr>
              <w:spacing w:before="60" w:after="60"/>
              <w:ind w:right="72"/>
              <w:jc w:val="right"/>
            </w:pPr>
            <w:r w:rsidRPr="00AB2A53">
              <w:t>Rental or lease of buildings, space in buildings, or land (6269)</w:t>
            </w:r>
          </w:p>
        </w:tc>
        <w:tc>
          <w:tcPr>
            <w:tcW w:w="1675" w:type="dxa"/>
            <w:tcBorders>
              <w:bottom w:val="single" w:sz="4" w:space="0" w:color="auto"/>
            </w:tcBorders>
            <w:shd w:val="clear" w:color="auto" w:fill="FFFFCC"/>
            <w:vAlign w:val="center"/>
          </w:tcPr>
          <w:p w:rsidR="00AB2A53" w:rsidRPr="00AB2A53" w:rsidRDefault="00B340FD" w:rsidP="004C0021">
            <w:pPr>
              <w:spacing w:before="60" w:after="60"/>
              <w:jc w:val="right"/>
              <w:rPr>
                <w:u w:val="thick"/>
              </w:rPr>
            </w:pPr>
            <w:r w:rsidRPr="00AB2A53">
              <w:fldChar w:fldCharType="begin">
                <w:ffData>
                  <w:name w:val=""/>
                  <w:enabled/>
                  <w:calcOnExit/>
                  <w:textInput>
                    <w:type w:val="number"/>
                    <w:default w:val="$0.00"/>
                    <w:format w:val="$#,##0.00;($#,##0.00)"/>
                  </w:textInput>
                </w:ffData>
              </w:fldChar>
            </w:r>
            <w:r w:rsidR="00AB2A53" w:rsidRPr="00AB2A53">
              <w:instrText xml:space="preserve"> FORMTEXT </w:instrText>
            </w:r>
            <w:r w:rsidRPr="00AB2A53">
              <w:fldChar w:fldCharType="separate"/>
            </w:r>
            <w:r w:rsidR="00AB2A53" w:rsidRPr="00AB2A53">
              <w:rPr>
                <w:noProof/>
              </w:rPr>
              <w:t>$0.00</w:t>
            </w:r>
            <w:r w:rsidRPr="00AB2A53">
              <w:fldChar w:fldCharType="end"/>
            </w:r>
          </w:p>
        </w:tc>
      </w:tr>
      <w:tr w:rsidR="00AB2A53" w:rsidRPr="00AB2A53" w:rsidTr="004C0021">
        <w:trPr>
          <w:jc w:val="center"/>
        </w:trPr>
        <w:tc>
          <w:tcPr>
            <w:tcW w:w="522" w:type="dxa"/>
            <w:tcBorders>
              <w:top w:val="nil"/>
            </w:tcBorders>
            <w:shd w:val="clear" w:color="auto" w:fill="auto"/>
          </w:tcPr>
          <w:p w:rsidR="00AB2A53" w:rsidRPr="00654EDA" w:rsidRDefault="00AB2A53" w:rsidP="004C0021">
            <w:pPr>
              <w:spacing w:before="60" w:after="60"/>
              <w:jc w:val="center"/>
              <w:rPr>
                <w:b/>
              </w:rPr>
            </w:pPr>
          </w:p>
        </w:tc>
        <w:tc>
          <w:tcPr>
            <w:tcW w:w="394" w:type="dxa"/>
            <w:gridSpan w:val="2"/>
            <w:shd w:val="clear" w:color="auto" w:fill="auto"/>
            <w:vAlign w:val="center"/>
          </w:tcPr>
          <w:p w:rsidR="00AB2A53" w:rsidRPr="00AB2A53" w:rsidRDefault="00AB2A53" w:rsidP="004C0021">
            <w:pPr>
              <w:spacing w:before="60" w:after="60"/>
              <w:ind w:left="144"/>
            </w:pPr>
            <w:r w:rsidRPr="00AB2A53">
              <w:t>b.</w:t>
            </w:r>
          </w:p>
        </w:tc>
        <w:tc>
          <w:tcPr>
            <w:tcW w:w="6714" w:type="dxa"/>
            <w:shd w:val="clear" w:color="auto" w:fill="auto"/>
            <w:vAlign w:val="center"/>
          </w:tcPr>
          <w:p w:rsidR="00AB2A53" w:rsidRPr="00AB2A53" w:rsidRDefault="00AB2A53" w:rsidP="004C0021">
            <w:pPr>
              <w:spacing w:before="60" w:after="60"/>
              <w:ind w:right="72"/>
              <w:jc w:val="right"/>
            </w:pPr>
            <w:r w:rsidRPr="00AB2A53">
              <w:t>Scholarships or fellowships (6200)</w:t>
            </w:r>
          </w:p>
          <w:p w:rsidR="00AB2A53" w:rsidRPr="00AB2A53" w:rsidRDefault="00AB2A53" w:rsidP="004C0021">
            <w:pPr>
              <w:spacing w:before="60" w:after="60"/>
              <w:ind w:right="72"/>
              <w:jc w:val="right"/>
              <w:rPr>
                <w:b/>
              </w:rPr>
            </w:pPr>
            <w:r w:rsidRPr="00AB2A53">
              <w:rPr>
                <w:b/>
              </w:rPr>
              <w:t>NOTE: For NPOs, this is not an allowable cost for federal grants.</w:t>
            </w:r>
          </w:p>
        </w:tc>
        <w:tc>
          <w:tcPr>
            <w:tcW w:w="1675" w:type="dxa"/>
            <w:tcBorders>
              <w:bottom w:val="single" w:sz="4" w:space="0" w:color="auto"/>
            </w:tcBorders>
            <w:shd w:val="clear" w:color="auto" w:fill="FFFFCC"/>
            <w:vAlign w:val="center"/>
          </w:tcPr>
          <w:p w:rsidR="00AB2A53" w:rsidRPr="00AB2A53" w:rsidRDefault="00B340FD" w:rsidP="004C0021">
            <w:pPr>
              <w:spacing w:before="60" w:after="60"/>
              <w:jc w:val="right"/>
            </w:pPr>
            <w:r w:rsidRPr="00AB2A53">
              <w:fldChar w:fldCharType="begin">
                <w:ffData>
                  <w:name w:val=""/>
                  <w:enabled/>
                  <w:calcOnExit/>
                  <w:textInput>
                    <w:type w:val="number"/>
                    <w:default w:val="$0.00"/>
                    <w:format w:val="$#,##0.00;($#,##0.00)"/>
                  </w:textInput>
                </w:ffData>
              </w:fldChar>
            </w:r>
            <w:r w:rsidR="00AB2A53" w:rsidRPr="00AB2A53">
              <w:instrText xml:space="preserve"> FORMTEXT </w:instrText>
            </w:r>
            <w:r w:rsidRPr="00AB2A53">
              <w:fldChar w:fldCharType="separate"/>
            </w:r>
            <w:r w:rsidR="00AB2A53" w:rsidRPr="00AB2A53">
              <w:rPr>
                <w:noProof/>
              </w:rPr>
              <w:t>$0.00</w:t>
            </w:r>
            <w:r w:rsidRPr="00AB2A53">
              <w:fldChar w:fldCharType="end"/>
            </w:r>
          </w:p>
        </w:tc>
      </w:tr>
      <w:tr w:rsidR="00AB2A53" w:rsidRPr="004C0021" w:rsidTr="004C0021">
        <w:trPr>
          <w:jc w:val="center"/>
        </w:trPr>
        <w:tc>
          <w:tcPr>
            <w:tcW w:w="522" w:type="dxa"/>
            <w:tcBorders>
              <w:bottom w:val="single" w:sz="4" w:space="0" w:color="auto"/>
            </w:tcBorders>
            <w:shd w:val="clear" w:color="auto" w:fill="auto"/>
          </w:tcPr>
          <w:p w:rsidR="00AB2A53" w:rsidRPr="00AB2A53" w:rsidRDefault="00AB2A53" w:rsidP="004C0021">
            <w:pPr>
              <w:spacing w:before="60" w:after="60"/>
              <w:jc w:val="center"/>
            </w:pPr>
            <w:r w:rsidRPr="00AB2A53">
              <w:t>8.</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tcMar>
              <w:left w:w="0" w:type="dxa"/>
              <w:right w:w="115" w:type="dxa"/>
            </w:tcMar>
            <w:vAlign w:val="center"/>
          </w:tcPr>
          <w:p w:rsidR="00AB2A53" w:rsidRPr="00AB2A53" w:rsidRDefault="00AB2A53" w:rsidP="004C0021">
            <w:pPr>
              <w:spacing w:before="60" w:after="60"/>
              <w:rPr>
                <w:b/>
              </w:rPr>
            </w:pPr>
            <w:r w:rsidRPr="00AB2A53">
              <w:t>The additional excluded costs listed in line 7a–7b are added and their total entered here.</w:t>
            </w:r>
          </w:p>
        </w:tc>
        <w:bookmarkStart w:id="7" w:name="Text10"/>
        <w:tc>
          <w:tcPr>
            <w:tcW w:w="1675" w:type="dxa"/>
            <w:tcBorders>
              <w:bottom w:val="single" w:sz="4" w:space="0" w:color="auto"/>
            </w:tcBorders>
            <w:shd w:val="clear" w:color="auto" w:fill="F2F2F2"/>
            <w:vAlign w:val="center"/>
          </w:tcPr>
          <w:p w:rsidR="00AB2A53" w:rsidRPr="00AB2A53" w:rsidRDefault="00B340FD" w:rsidP="004C0021">
            <w:pPr>
              <w:spacing w:before="60" w:after="60"/>
              <w:jc w:val="right"/>
            </w:pPr>
            <w:r w:rsidRPr="00AB2A53">
              <w:fldChar w:fldCharType="begin">
                <w:ffData>
                  <w:name w:val="Text10"/>
                  <w:enabled w:val="0"/>
                  <w:calcOnExit/>
                  <w:textInput>
                    <w:type w:val="calculated"/>
                    <w:default w:val="=D15+D16"/>
                    <w:format w:val="$#,##0.00;($#,##0.00)"/>
                  </w:textInput>
                </w:ffData>
              </w:fldChar>
            </w:r>
            <w:r w:rsidR="00AB2A53" w:rsidRPr="00AB2A53">
              <w:instrText xml:space="preserve"> FORMTEXT </w:instrText>
            </w:r>
            <w:r w:rsidRPr="00AB2A53">
              <w:fldChar w:fldCharType="begin"/>
            </w:r>
            <w:r w:rsidR="00AB2A53" w:rsidRPr="00AB2A53">
              <w:instrText xml:space="preserve"> =D15+D16 </w:instrText>
            </w:r>
            <w:r w:rsidRPr="00AB2A53">
              <w:fldChar w:fldCharType="separate"/>
            </w:r>
            <w:r w:rsidR="00041FA3">
              <w:rPr>
                <w:noProof/>
              </w:rPr>
              <w:instrText>$0.00</w:instrText>
            </w:r>
            <w:r w:rsidRPr="00AB2A53">
              <w:fldChar w:fldCharType="end"/>
            </w:r>
            <w:r w:rsidRPr="00AB2A53">
              <w:fldChar w:fldCharType="separate"/>
            </w:r>
            <w:r w:rsidR="00041FA3">
              <w:rPr>
                <w:noProof/>
              </w:rPr>
              <w:t>$0.00</w:t>
            </w:r>
            <w:r w:rsidRPr="00AB2A53">
              <w:fldChar w:fldCharType="end"/>
            </w:r>
            <w:bookmarkEnd w:id="7"/>
          </w:p>
        </w:tc>
      </w:tr>
      <w:tr w:rsidR="00AB2A53" w:rsidRPr="004C0021" w:rsidTr="004C0021">
        <w:trPr>
          <w:jc w:val="center"/>
        </w:trPr>
        <w:tc>
          <w:tcPr>
            <w:tcW w:w="522" w:type="dxa"/>
            <w:tcBorders>
              <w:bottom w:val="nil"/>
            </w:tcBorders>
            <w:shd w:val="clear" w:color="auto" w:fill="auto"/>
          </w:tcPr>
          <w:p w:rsidR="00AB2A53" w:rsidRPr="00AB2A53" w:rsidRDefault="00AB2A53" w:rsidP="004C0021">
            <w:pPr>
              <w:spacing w:before="60" w:after="60"/>
              <w:jc w:val="center"/>
            </w:pPr>
            <w:r w:rsidRPr="00AB2A53">
              <w:t>9.</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vAlign w:val="center"/>
          </w:tcPr>
          <w:p w:rsidR="00AB2A53" w:rsidRPr="00AB2A53" w:rsidRDefault="00AB2A53" w:rsidP="004C0021">
            <w:pPr>
              <w:spacing w:before="60" w:after="60"/>
            </w:pPr>
            <w:r w:rsidRPr="00AB2A53">
              <w:t>Line 8 is subtracted from line 6 and the result entered here.</w:t>
            </w:r>
          </w:p>
          <w:p w:rsidR="00AB2A53" w:rsidRPr="00AB2A53" w:rsidRDefault="00AB2A53" w:rsidP="004C0021">
            <w:pPr>
              <w:spacing w:before="60" w:after="60"/>
            </w:pPr>
            <w:r w:rsidRPr="00AB2A53">
              <w:t>NPOs will use this result as their total modified direct cost. Skip to line 13, where this result is entered</w:t>
            </w:r>
          </w:p>
        </w:tc>
        <w:tc>
          <w:tcPr>
            <w:tcW w:w="1675" w:type="dxa"/>
            <w:tcBorders>
              <w:bottom w:val="single" w:sz="4" w:space="0" w:color="auto"/>
            </w:tcBorders>
            <w:shd w:val="clear" w:color="auto" w:fill="F2F2F2"/>
            <w:vAlign w:val="center"/>
          </w:tcPr>
          <w:p w:rsidR="00AB2A53" w:rsidRPr="00AB2A53" w:rsidRDefault="00B340FD" w:rsidP="004C0021">
            <w:pPr>
              <w:spacing w:before="60" w:after="60"/>
              <w:jc w:val="right"/>
              <w:rPr>
                <w:b/>
                <w:i/>
              </w:rPr>
            </w:pPr>
            <w:r w:rsidRPr="00AB2A53">
              <w:fldChar w:fldCharType="begin">
                <w:ffData>
                  <w:name w:val=""/>
                  <w:enabled w:val="0"/>
                  <w:calcOnExit/>
                  <w:textInput>
                    <w:type w:val="calculated"/>
                    <w:default w:val="=D13-D17"/>
                    <w:format w:val="$#,##0.00;($#,##0.00)"/>
                  </w:textInput>
                </w:ffData>
              </w:fldChar>
            </w:r>
            <w:r w:rsidR="00AB2A53" w:rsidRPr="00AB2A53">
              <w:instrText xml:space="preserve"> FORMTEXT </w:instrText>
            </w:r>
            <w:r w:rsidRPr="00AB2A53">
              <w:fldChar w:fldCharType="begin"/>
            </w:r>
            <w:r w:rsidR="00AB2A53" w:rsidRPr="00AB2A53">
              <w:instrText xml:space="preserve"> =D13-D17 </w:instrText>
            </w:r>
            <w:r w:rsidRPr="00AB2A53">
              <w:fldChar w:fldCharType="separate"/>
            </w:r>
            <w:r w:rsidR="00041FA3">
              <w:rPr>
                <w:noProof/>
              </w:rPr>
              <w:instrText>$0.00</w:instrText>
            </w:r>
            <w:r w:rsidRPr="00AB2A53">
              <w:fldChar w:fldCharType="end"/>
            </w:r>
            <w:r w:rsidRPr="00AB2A53">
              <w:fldChar w:fldCharType="separate"/>
            </w:r>
            <w:r w:rsidR="00041FA3">
              <w:rPr>
                <w:noProof/>
              </w:rPr>
              <w:t>$0.00</w:t>
            </w:r>
            <w:r w:rsidRPr="00AB2A53">
              <w:fldChar w:fldCharType="end"/>
            </w:r>
          </w:p>
        </w:tc>
      </w:tr>
      <w:tr w:rsidR="00AB2A53" w:rsidRPr="004C0021" w:rsidTr="004C0021">
        <w:trPr>
          <w:jc w:val="center"/>
        </w:trPr>
        <w:tc>
          <w:tcPr>
            <w:tcW w:w="522" w:type="dxa"/>
            <w:tcBorders>
              <w:bottom w:val="nil"/>
            </w:tcBorders>
            <w:shd w:val="clear" w:color="auto" w:fill="auto"/>
          </w:tcPr>
          <w:p w:rsidR="00AB2A53" w:rsidRPr="00AB2A53" w:rsidRDefault="00AB2A53" w:rsidP="004C0021">
            <w:pPr>
              <w:spacing w:before="60" w:after="60"/>
              <w:jc w:val="center"/>
            </w:pPr>
            <w:r w:rsidRPr="00AB2A53">
              <w:t>10.</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vAlign w:val="center"/>
          </w:tcPr>
          <w:p w:rsidR="00AB2A53" w:rsidRPr="00AB2A53" w:rsidRDefault="00AB2A53" w:rsidP="004C0021">
            <w:pPr>
              <w:spacing w:before="60" w:after="60"/>
            </w:pPr>
            <w:r w:rsidRPr="00AB2A53">
              <w:t>IHEs must exclude a final additional cost.</w:t>
            </w:r>
          </w:p>
          <w:p w:rsidR="00AB2A53" w:rsidRPr="00AB2A53" w:rsidRDefault="00AB2A53" w:rsidP="004C0021">
            <w:pPr>
              <w:spacing w:before="60" w:after="60"/>
            </w:pPr>
            <w:r w:rsidRPr="00AB2A53">
              <w:t>If you are an IHE and the following cost is budgeted in your application, enter the budgeted amount:</w:t>
            </w:r>
          </w:p>
        </w:tc>
        <w:tc>
          <w:tcPr>
            <w:tcW w:w="1675" w:type="dxa"/>
            <w:tcBorders>
              <w:bottom w:val="single" w:sz="4" w:space="0" w:color="auto"/>
            </w:tcBorders>
            <w:shd w:val="thinDiagCross" w:color="808080" w:fill="D9D9D9"/>
            <w:vAlign w:val="center"/>
          </w:tcPr>
          <w:p w:rsidR="00AB2A53" w:rsidRPr="00AB2A53" w:rsidRDefault="00AB2A53" w:rsidP="004C0021">
            <w:pPr>
              <w:spacing w:before="60" w:after="60"/>
              <w:jc w:val="right"/>
              <w:rPr>
                <w:b/>
                <w:i/>
              </w:rPr>
            </w:pPr>
          </w:p>
        </w:tc>
      </w:tr>
      <w:tr w:rsidR="00AB2A53" w:rsidRPr="00AB2A53" w:rsidTr="004C0021">
        <w:trPr>
          <w:jc w:val="center"/>
        </w:trPr>
        <w:tc>
          <w:tcPr>
            <w:tcW w:w="522" w:type="dxa"/>
            <w:tcBorders>
              <w:top w:val="nil"/>
            </w:tcBorders>
            <w:shd w:val="clear" w:color="auto" w:fill="auto"/>
          </w:tcPr>
          <w:p w:rsidR="00AB2A53" w:rsidRPr="00654EDA" w:rsidRDefault="00AB2A53" w:rsidP="004C0021">
            <w:pPr>
              <w:spacing w:before="60" w:after="60"/>
              <w:jc w:val="center"/>
              <w:rPr>
                <w:b/>
                <w:i/>
              </w:rPr>
            </w:pPr>
          </w:p>
        </w:tc>
        <w:tc>
          <w:tcPr>
            <w:tcW w:w="394" w:type="dxa"/>
            <w:gridSpan w:val="2"/>
            <w:shd w:val="clear" w:color="auto" w:fill="auto"/>
            <w:vAlign w:val="center"/>
          </w:tcPr>
          <w:p w:rsidR="00AB2A53" w:rsidRPr="00AB2A53" w:rsidRDefault="00AB2A53" w:rsidP="004C0021">
            <w:pPr>
              <w:spacing w:before="60" w:after="60"/>
              <w:ind w:left="144"/>
            </w:pPr>
            <w:r w:rsidRPr="00AB2A53">
              <w:t>a.</w:t>
            </w:r>
          </w:p>
        </w:tc>
        <w:tc>
          <w:tcPr>
            <w:tcW w:w="6714" w:type="dxa"/>
            <w:shd w:val="clear" w:color="auto" w:fill="auto"/>
            <w:vAlign w:val="center"/>
          </w:tcPr>
          <w:p w:rsidR="00AB2A53" w:rsidRPr="00AB2A53" w:rsidRDefault="00AB2A53" w:rsidP="004C0021">
            <w:pPr>
              <w:spacing w:before="60" w:after="60"/>
              <w:ind w:right="72"/>
              <w:jc w:val="right"/>
            </w:pPr>
            <w:r w:rsidRPr="00AB2A53">
              <w:t>Tuition remission (6100)</w:t>
            </w:r>
          </w:p>
        </w:tc>
        <w:tc>
          <w:tcPr>
            <w:tcW w:w="1675" w:type="dxa"/>
            <w:tcBorders>
              <w:bottom w:val="single" w:sz="4" w:space="0" w:color="auto"/>
            </w:tcBorders>
            <w:shd w:val="clear" w:color="auto" w:fill="FFFFCC"/>
            <w:vAlign w:val="center"/>
          </w:tcPr>
          <w:p w:rsidR="00AB2A53" w:rsidRPr="00AB2A53" w:rsidRDefault="00B340FD" w:rsidP="004C0021">
            <w:pPr>
              <w:spacing w:before="60" w:after="60"/>
              <w:jc w:val="right"/>
            </w:pPr>
            <w:r w:rsidRPr="00AB2A53">
              <w:fldChar w:fldCharType="begin">
                <w:ffData>
                  <w:name w:val=""/>
                  <w:enabled/>
                  <w:calcOnExit/>
                  <w:textInput>
                    <w:type w:val="number"/>
                    <w:default w:val="$0.00"/>
                    <w:format w:val="$#,##0.00;($#,##0.00)"/>
                  </w:textInput>
                </w:ffData>
              </w:fldChar>
            </w:r>
            <w:r w:rsidR="00AB2A53" w:rsidRPr="00AB2A53">
              <w:instrText xml:space="preserve"> FORMTEXT </w:instrText>
            </w:r>
            <w:r w:rsidRPr="00AB2A53">
              <w:fldChar w:fldCharType="separate"/>
            </w:r>
            <w:r w:rsidR="00AB2A53" w:rsidRPr="00AB2A53">
              <w:rPr>
                <w:noProof/>
              </w:rPr>
              <w:t>$0.00</w:t>
            </w:r>
            <w:r w:rsidRPr="00AB2A53">
              <w:fldChar w:fldCharType="end"/>
            </w:r>
          </w:p>
        </w:tc>
      </w:tr>
      <w:tr w:rsidR="00AB2A53" w:rsidRPr="004C0021" w:rsidTr="004C0021">
        <w:trPr>
          <w:jc w:val="center"/>
        </w:trPr>
        <w:tc>
          <w:tcPr>
            <w:tcW w:w="522" w:type="dxa"/>
            <w:shd w:val="clear" w:color="auto" w:fill="auto"/>
          </w:tcPr>
          <w:p w:rsidR="00AB2A53" w:rsidRPr="00AB2A53" w:rsidRDefault="00AB2A53" w:rsidP="004C0021">
            <w:pPr>
              <w:spacing w:before="60" w:after="60"/>
              <w:jc w:val="center"/>
            </w:pPr>
            <w:r w:rsidRPr="00AB2A53">
              <w:t xml:space="preserve">11. </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tcMar>
              <w:left w:w="0" w:type="dxa"/>
              <w:right w:w="115" w:type="dxa"/>
            </w:tcMar>
            <w:vAlign w:val="center"/>
          </w:tcPr>
          <w:p w:rsidR="00AB2A53" w:rsidRPr="00AB2A53" w:rsidRDefault="00AB2A53" w:rsidP="004C0021">
            <w:pPr>
              <w:spacing w:before="60" w:after="60"/>
            </w:pPr>
            <w:r w:rsidRPr="00AB2A53">
              <w:t>Line 10a is subtracted from line 9 and the result entered here.</w:t>
            </w:r>
          </w:p>
          <w:p w:rsidR="00AB2A53" w:rsidRPr="00AB2A53" w:rsidRDefault="00AB2A53" w:rsidP="004C0021">
            <w:pPr>
              <w:spacing w:before="60" w:after="60"/>
              <w:rPr>
                <w:b/>
              </w:rPr>
            </w:pPr>
            <w:r w:rsidRPr="00AB2A53">
              <w:t>IHEs will use this result as their total modified direct cost. Skip to line 13, where this result is entered.</w:t>
            </w:r>
          </w:p>
        </w:tc>
        <w:bookmarkStart w:id="8" w:name="Text11"/>
        <w:tc>
          <w:tcPr>
            <w:tcW w:w="1675" w:type="dxa"/>
            <w:shd w:val="clear" w:color="auto" w:fill="F2F2F2"/>
            <w:vAlign w:val="center"/>
          </w:tcPr>
          <w:p w:rsidR="00AB2A53" w:rsidRPr="00AB2A53" w:rsidRDefault="00B340FD" w:rsidP="004C0021">
            <w:pPr>
              <w:spacing w:before="60" w:after="60"/>
              <w:jc w:val="right"/>
            </w:pPr>
            <w:r w:rsidRPr="00AB2A53">
              <w:fldChar w:fldCharType="begin">
                <w:ffData>
                  <w:name w:val="Text11"/>
                  <w:enabled w:val="0"/>
                  <w:calcOnExit/>
                  <w:textInput>
                    <w:type w:val="calculated"/>
                    <w:default w:val="=D18-D20"/>
                    <w:format w:val="$#,##0.00;($#,##0.00)"/>
                  </w:textInput>
                </w:ffData>
              </w:fldChar>
            </w:r>
            <w:r w:rsidR="00AB2A53" w:rsidRPr="00AB2A53">
              <w:instrText xml:space="preserve"> FORMTEXT </w:instrText>
            </w:r>
            <w:r w:rsidRPr="00AB2A53">
              <w:fldChar w:fldCharType="begin"/>
            </w:r>
            <w:r w:rsidR="00AB2A53" w:rsidRPr="00AB2A53">
              <w:instrText xml:space="preserve"> =D18-D20 </w:instrText>
            </w:r>
            <w:r w:rsidRPr="00AB2A53">
              <w:fldChar w:fldCharType="separate"/>
            </w:r>
            <w:r w:rsidR="00041FA3">
              <w:rPr>
                <w:noProof/>
              </w:rPr>
              <w:instrText>$0.00</w:instrText>
            </w:r>
            <w:r w:rsidRPr="00AB2A53">
              <w:fldChar w:fldCharType="end"/>
            </w:r>
            <w:r w:rsidRPr="00AB2A53">
              <w:fldChar w:fldCharType="separate"/>
            </w:r>
            <w:r w:rsidR="00041FA3">
              <w:rPr>
                <w:noProof/>
              </w:rPr>
              <w:t>$0.00</w:t>
            </w:r>
            <w:r w:rsidRPr="00AB2A53">
              <w:fldChar w:fldCharType="end"/>
            </w:r>
            <w:bookmarkEnd w:id="8"/>
          </w:p>
        </w:tc>
      </w:tr>
      <w:tr w:rsidR="00AB2A53" w:rsidRPr="004C0021" w:rsidTr="004C0021">
        <w:trPr>
          <w:jc w:val="center"/>
        </w:trPr>
        <w:tc>
          <w:tcPr>
            <w:tcW w:w="522" w:type="dxa"/>
            <w:shd w:val="clear" w:color="auto" w:fill="auto"/>
          </w:tcPr>
          <w:p w:rsidR="00AB2A53" w:rsidRPr="00AB2A53" w:rsidRDefault="00AB2A53" w:rsidP="004C0021">
            <w:pPr>
              <w:spacing w:before="60" w:after="60"/>
              <w:jc w:val="center"/>
            </w:pPr>
            <w:r w:rsidRPr="00AB2A53">
              <w:t>12.</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tcMar>
              <w:left w:w="0" w:type="dxa"/>
              <w:right w:w="115" w:type="dxa"/>
            </w:tcMar>
            <w:vAlign w:val="center"/>
          </w:tcPr>
          <w:p w:rsidR="00AB2A53" w:rsidRPr="00AB2A53" w:rsidRDefault="00AB2A53" w:rsidP="004C0021">
            <w:pPr>
              <w:spacing w:before="60" w:after="60"/>
            </w:pPr>
            <w:r w:rsidRPr="00AB2A53">
              <w:rPr>
                <w:b/>
              </w:rPr>
              <w:t>YOUR TOTAL MODIFIED DIRECT COST (from line 6, 9, or 11):</w:t>
            </w:r>
          </w:p>
        </w:tc>
        <w:bookmarkStart w:id="9" w:name="Text12"/>
        <w:tc>
          <w:tcPr>
            <w:tcW w:w="1675" w:type="dxa"/>
            <w:shd w:val="clear" w:color="auto" w:fill="F2F2F2"/>
            <w:vAlign w:val="center"/>
          </w:tcPr>
          <w:p w:rsidR="00AB2A53" w:rsidRPr="00AB2A53" w:rsidRDefault="00B340FD" w:rsidP="004C0021">
            <w:pPr>
              <w:spacing w:before="60" w:after="60"/>
              <w:jc w:val="right"/>
            </w:pPr>
            <w:r w:rsidRPr="00AB2A53">
              <w:fldChar w:fldCharType="begin">
                <w:ffData>
                  <w:name w:val="Text12"/>
                  <w:enabled w:val="0"/>
                  <w:calcOnExit/>
                  <w:textInput>
                    <w:type w:val="calculated"/>
                    <w:default w:val="=D21"/>
                    <w:format w:val="$#,##0.00;($#,##0.00)"/>
                  </w:textInput>
                </w:ffData>
              </w:fldChar>
            </w:r>
            <w:r w:rsidR="00AB2A53" w:rsidRPr="00AB2A53">
              <w:instrText xml:space="preserve"> FORMTEXT </w:instrText>
            </w:r>
            <w:r w:rsidRPr="00AB2A53">
              <w:fldChar w:fldCharType="begin"/>
            </w:r>
            <w:r w:rsidR="00AB2A53" w:rsidRPr="00AB2A53">
              <w:instrText xml:space="preserve"> =D21 </w:instrText>
            </w:r>
            <w:r w:rsidRPr="00AB2A53">
              <w:fldChar w:fldCharType="separate"/>
            </w:r>
            <w:r w:rsidR="00041FA3">
              <w:rPr>
                <w:noProof/>
              </w:rPr>
              <w:instrText>$0.00</w:instrText>
            </w:r>
            <w:r w:rsidRPr="00AB2A53">
              <w:fldChar w:fldCharType="end"/>
            </w:r>
            <w:r w:rsidRPr="00AB2A53">
              <w:fldChar w:fldCharType="separate"/>
            </w:r>
            <w:r w:rsidR="00041FA3">
              <w:rPr>
                <w:noProof/>
              </w:rPr>
              <w:t>$0.00</w:t>
            </w:r>
            <w:r w:rsidRPr="00AB2A53">
              <w:fldChar w:fldCharType="end"/>
            </w:r>
            <w:bookmarkEnd w:id="9"/>
          </w:p>
        </w:tc>
      </w:tr>
      <w:tr w:rsidR="00AB2A53" w:rsidRPr="00AB2A53" w:rsidTr="004C0021">
        <w:trPr>
          <w:jc w:val="center"/>
        </w:trPr>
        <w:tc>
          <w:tcPr>
            <w:tcW w:w="522" w:type="dxa"/>
            <w:shd w:val="clear" w:color="auto" w:fill="auto"/>
          </w:tcPr>
          <w:p w:rsidR="00AB2A53" w:rsidRPr="00AB2A53" w:rsidRDefault="00AB2A53" w:rsidP="004C0021">
            <w:pPr>
              <w:spacing w:before="60" w:after="60"/>
              <w:jc w:val="center"/>
            </w:pPr>
            <w:r w:rsidRPr="00AB2A53">
              <w:t>13.</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tcMar>
              <w:left w:w="0" w:type="dxa"/>
              <w:right w:w="115" w:type="dxa"/>
            </w:tcMar>
            <w:vAlign w:val="center"/>
          </w:tcPr>
          <w:p w:rsidR="00AB2A53" w:rsidRPr="00AB2A53" w:rsidRDefault="00AB2A53" w:rsidP="004C0021">
            <w:pPr>
              <w:spacing w:before="60" w:after="60"/>
            </w:pPr>
            <w:r w:rsidRPr="00AB2A53">
              <w:t xml:space="preserve">Refer to the Limit on Indirect Costs section </w:t>
            </w:r>
            <w:r w:rsidR="009A2312">
              <w:t xml:space="preserve">of the Indirect Cost Handbook, posted on the </w:t>
            </w:r>
            <w:hyperlink r:id="rId12" w:history="1">
              <w:r w:rsidR="009A2312">
                <w:rPr>
                  <w:rStyle w:val="Hyperlink"/>
                </w:rPr>
                <w:t>Administering a Grant</w:t>
              </w:r>
            </w:hyperlink>
            <w:r w:rsidR="009A2312">
              <w:t xml:space="preserve"> page of the TEA website, </w:t>
            </w:r>
            <w:r w:rsidRPr="00AB2A53">
              <w:t>to determine whether to use a limited indirect cost rate. Enter the rate here as a decimal value (3.161% = 0.03161; 17.51% = 0.1751):</w:t>
            </w:r>
          </w:p>
        </w:tc>
        <w:bookmarkStart w:id="10" w:name="Text13"/>
        <w:tc>
          <w:tcPr>
            <w:tcW w:w="1675" w:type="dxa"/>
            <w:tcBorders>
              <w:bottom w:val="single" w:sz="4" w:space="0" w:color="auto"/>
            </w:tcBorders>
            <w:shd w:val="clear" w:color="auto" w:fill="FFFFCC"/>
            <w:vAlign w:val="center"/>
          </w:tcPr>
          <w:p w:rsidR="00AB2A53" w:rsidRPr="00AB2A53" w:rsidRDefault="00B340FD" w:rsidP="004C0021">
            <w:pPr>
              <w:spacing w:before="60" w:after="60"/>
              <w:jc w:val="right"/>
            </w:pPr>
            <w:r w:rsidRPr="00AB2A53">
              <w:fldChar w:fldCharType="begin">
                <w:ffData>
                  <w:name w:val="Text13"/>
                  <w:enabled/>
                  <w:calcOnExit/>
                  <w:textInput>
                    <w:type w:val="number"/>
                    <w:default w:val="0.00%"/>
                    <w:format w:val="0.00%"/>
                  </w:textInput>
                </w:ffData>
              </w:fldChar>
            </w:r>
            <w:r w:rsidR="00AB2A53" w:rsidRPr="00AB2A53">
              <w:instrText xml:space="preserve"> FORMTEXT </w:instrText>
            </w:r>
            <w:r w:rsidRPr="00AB2A53">
              <w:fldChar w:fldCharType="separate"/>
            </w:r>
            <w:r w:rsidR="00AB2A53" w:rsidRPr="00AB2A53">
              <w:rPr>
                <w:noProof/>
              </w:rPr>
              <w:t>0.00%</w:t>
            </w:r>
            <w:r w:rsidRPr="00AB2A53">
              <w:fldChar w:fldCharType="end"/>
            </w:r>
            <w:bookmarkEnd w:id="10"/>
          </w:p>
        </w:tc>
      </w:tr>
      <w:tr w:rsidR="00AB2A53" w:rsidRPr="004C0021" w:rsidTr="004C0021">
        <w:trPr>
          <w:jc w:val="center"/>
        </w:trPr>
        <w:tc>
          <w:tcPr>
            <w:tcW w:w="522" w:type="dxa"/>
            <w:shd w:val="clear" w:color="auto" w:fill="auto"/>
          </w:tcPr>
          <w:p w:rsidR="00AB2A53" w:rsidRPr="00AB2A53" w:rsidRDefault="00AB2A53" w:rsidP="004C0021">
            <w:pPr>
              <w:spacing w:before="60" w:after="60"/>
              <w:jc w:val="center"/>
            </w:pPr>
            <w:r w:rsidRPr="00AB2A53">
              <w:t>14.</w:t>
            </w:r>
          </w:p>
        </w:tc>
        <w:tc>
          <w:tcPr>
            <w:tcW w:w="124" w:type="dxa"/>
            <w:tcBorders>
              <w:right w:val="nil"/>
            </w:tcBorders>
            <w:shd w:val="clear" w:color="auto" w:fill="auto"/>
            <w:vAlign w:val="center"/>
          </w:tcPr>
          <w:p w:rsidR="00AB2A53" w:rsidRPr="00AB2A53" w:rsidRDefault="00AB2A53" w:rsidP="004C0021">
            <w:pPr>
              <w:spacing w:before="60" w:after="60"/>
            </w:pPr>
          </w:p>
        </w:tc>
        <w:tc>
          <w:tcPr>
            <w:tcW w:w="6984" w:type="dxa"/>
            <w:gridSpan w:val="2"/>
            <w:tcBorders>
              <w:left w:val="nil"/>
            </w:tcBorders>
            <w:shd w:val="clear" w:color="auto" w:fill="auto"/>
            <w:tcMar>
              <w:left w:w="0" w:type="dxa"/>
              <w:right w:w="115" w:type="dxa"/>
            </w:tcMar>
            <w:vAlign w:val="center"/>
          </w:tcPr>
          <w:p w:rsidR="00AB2A53" w:rsidRPr="00AB2A53" w:rsidRDefault="00AB2A53" w:rsidP="004C0021">
            <w:pPr>
              <w:spacing w:before="60" w:after="60"/>
            </w:pPr>
            <w:r w:rsidRPr="00AB2A53">
              <w:t>Line 13 is multiplied by line 14. The cents are dropped (not rounded up) and the result entered here. This is the maximum in indirect costs that you may claim for the grant.</w:t>
            </w:r>
          </w:p>
        </w:tc>
        <w:bookmarkStart w:id="11" w:name="Text14"/>
        <w:tc>
          <w:tcPr>
            <w:tcW w:w="1675" w:type="dxa"/>
            <w:shd w:val="clear" w:color="auto" w:fill="F2F2F2"/>
            <w:vAlign w:val="center"/>
          </w:tcPr>
          <w:p w:rsidR="00AB2A53" w:rsidRPr="00AB2A53" w:rsidRDefault="00B340FD" w:rsidP="004C0021">
            <w:pPr>
              <w:spacing w:before="60" w:after="60"/>
              <w:jc w:val="right"/>
            </w:pPr>
            <w:r w:rsidRPr="00AB2A53">
              <w:fldChar w:fldCharType="begin">
                <w:ffData>
                  <w:name w:val="Text14"/>
                  <w:enabled w:val="0"/>
                  <w:calcOnExit/>
                  <w:textInput>
                    <w:type w:val="calculated"/>
                    <w:default w:val="=D22*D23"/>
                    <w:format w:val="$#,##0.00;($#,##0.00)"/>
                  </w:textInput>
                </w:ffData>
              </w:fldChar>
            </w:r>
            <w:r w:rsidR="00AB2A53" w:rsidRPr="00AB2A53">
              <w:instrText xml:space="preserve"> FORMTEXT </w:instrText>
            </w:r>
            <w:r w:rsidRPr="00AB2A53">
              <w:fldChar w:fldCharType="begin"/>
            </w:r>
            <w:r w:rsidR="00AB2A53" w:rsidRPr="00AB2A53">
              <w:instrText xml:space="preserve"> =D22*D23 </w:instrText>
            </w:r>
            <w:r w:rsidRPr="00AB2A53">
              <w:fldChar w:fldCharType="separate"/>
            </w:r>
            <w:r w:rsidR="00041FA3">
              <w:rPr>
                <w:noProof/>
              </w:rPr>
              <w:instrText>$0.0000</w:instrText>
            </w:r>
            <w:r w:rsidRPr="00AB2A53">
              <w:fldChar w:fldCharType="end"/>
            </w:r>
            <w:r w:rsidRPr="00AB2A53">
              <w:fldChar w:fldCharType="separate"/>
            </w:r>
            <w:r w:rsidR="00041FA3">
              <w:rPr>
                <w:noProof/>
              </w:rPr>
              <w:t>$0.00</w:t>
            </w:r>
            <w:r w:rsidRPr="00AB2A53">
              <w:fldChar w:fldCharType="end"/>
            </w:r>
            <w:bookmarkEnd w:id="11"/>
          </w:p>
        </w:tc>
      </w:tr>
    </w:tbl>
    <w:p w:rsidR="001D3CC4" w:rsidRPr="00041FA3" w:rsidRDefault="001D3CC4" w:rsidP="008D6C30">
      <w:pPr>
        <w:rPr>
          <w:sz w:val="21"/>
        </w:rPr>
      </w:pPr>
      <w:r>
        <w:t xml:space="preserve">* </w:t>
      </w:r>
      <w:r w:rsidRPr="00041FA3">
        <w:rPr>
          <w:sz w:val="21"/>
        </w:rPr>
        <w:t>Subcontracts and subgrants may be primarily distinguished as follows:</w:t>
      </w:r>
    </w:p>
    <w:p w:rsidR="001D3CC4" w:rsidRPr="00041FA3" w:rsidRDefault="001D3CC4" w:rsidP="009A2312">
      <w:pPr>
        <w:pStyle w:val="ListParagraph"/>
        <w:numPr>
          <w:ilvl w:val="0"/>
          <w:numId w:val="40"/>
        </w:numPr>
        <w:spacing w:before="120"/>
        <w:ind w:left="360"/>
        <w:rPr>
          <w:sz w:val="21"/>
        </w:rPr>
      </w:pPr>
      <w:r w:rsidRPr="00041FA3">
        <w:rPr>
          <w:sz w:val="21"/>
        </w:rPr>
        <w:t>A contract obligates a vendor or service provider (contractor) to furnish goods or services to the buyer, who pays for and benefits from them. If the contract is for services, they are usually of a kind that the buyer would perform for itself if it had the resources. These are commonly referred to as third-party contracts.</w:t>
      </w:r>
    </w:p>
    <w:p w:rsidR="001D3CC4" w:rsidRPr="00041FA3" w:rsidRDefault="001D3CC4" w:rsidP="009A2312">
      <w:pPr>
        <w:pStyle w:val="ListParagraph"/>
        <w:numPr>
          <w:ilvl w:val="0"/>
          <w:numId w:val="40"/>
        </w:numPr>
        <w:spacing w:before="120"/>
        <w:ind w:left="360"/>
        <w:rPr>
          <w:sz w:val="21"/>
        </w:rPr>
      </w:pPr>
      <w:r w:rsidRPr="00041FA3">
        <w:rPr>
          <w:sz w:val="21"/>
        </w:rPr>
        <w:t>A grant is an agreement between an awarding agency (grantor) and a recipient of funds (grantee). The goods and services purchased with grant funds do not benefit the grantor. Instead, the funds provided by the grantor benefit the grantee, along with any grant program participants who receive program benefits. In this case, the TEA grantee (the ISD, ESC, charter school, IHE, or NPO) becomes the grantor if it awards an allowable subgrant to another organization, e.g., an IHE awards a subgrant to an LEA as part of the TEA grantee’s funded project.</w:t>
      </w:r>
    </w:p>
    <w:p w:rsidR="00041FA3" w:rsidRDefault="001D3CC4" w:rsidP="00041FA3">
      <w:r w:rsidRPr="00041FA3">
        <w:t>For a detailed description of the characteristics of grantees versus those of contractors, refer to OMB Circular A-133, Subpart B, § ___.210, Subrecipient and vendor determinations.</w:t>
      </w:r>
      <w:r>
        <w:br w:type="page"/>
      </w:r>
      <w:bookmarkStart w:id="12" w:name="_Toc361230053"/>
      <w:bookmarkStart w:id="13" w:name="_Toc361230054"/>
    </w:p>
    <w:p w:rsidR="001D3CC4" w:rsidRPr="00041FA3" w:rsidRDefault="001D3CC4" w:rsidP="00041FA3">
      <w:pPr>
        <w:pStyle w:val="Heading1"/>
      </w:pPr>
      <w:r>
        <w:lastRenderedPageBreak/>
        <w:t>Table A: Costs That Must Be Excluded from the Indirect Cost Calculation</w:t>
      </w:r>
      <w:bookmarkEnd w:id="12"/>
      <w:bookmarkEnd w:id="13"/>
      <w:r>
        <w:t xml:space="preserve"> </w:t>
      </w:r>
    </w:p>
    <w:p w:rsidR="001D3CC4" w:rsidRDefault="001D3CC4" w:rsidP="001D3CC4">
      <w:r>
        <w:t xml:space="preserve">The excluded costs listed here are referenced in the applicable OMB circulars and in the US Department of Education </w:t>
      </w:r>
      <w:r>
        <w:rPr>
          <w:i/>
        </w:rPr>
        <w:t>Cost Allocation Guide for State and Local Governments</w:t>
      </w:r>
      <w:r>
        <w:t>.</w:t>
      </w:r>
    </w:p>
    <w:tbl>
      <w:tblPr>
        <w:tblW w:w="10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56"/>
        <w:gridCol w:w="1169"/>
        <w:gridCol w:w="1350"/>
        <w:gridCol w:w="1170"/>
        <w:gridCol w:w="1350"/>
        <w:gridCol w:w="1440"/>
        <w:gridCol w:w="1350"/>
      </w:tblGrid>
      <w:tr w:rsidR="001D3CC4" w:rsidTr="00440326">
        <w:trPr>
          <w:tblHeader/>
        </w:trPr>
        <w:tc>
          <w:tcPr>
            <w:tcW w:w="2356" w:type="dxa"/>
            <w:vMerge w:val="restart"/>
            <w:tcBorders>
              <w:top w:val="single" w:sz="12" w:space="0" w:color="000000"/>
              <w:left w:val="single" w:sz="12" w:space="0" w:color="000000"/>
              <w:bottom w:val="single" w:sz="6" w:space="0" w:color="000000"/>
              <w:right w:val="single" w:sz="6" w:space="0" w:color="000000"/>
            </w:tcBorders>
            <w:vAlign w:val="bottom"/>
            <w:hideMark/>
          </w:tcPr>
          <w:p w:rsidR="001D3CC4" w:rsidRDefault="001D3CC4">
            <w:pPr>
              <w:spacing w:after="0" w:line="276" w:lineRule="auto"/>
              <w:jc w:val="center"/>
            </w:pPr>
            <w:r>
              <w:t>Items of Cost</w:t>
            </w:r>
          </w:p>
        </w:tc>
        <w:tc>
          <w:tcPr>
            <w:tcW w:w="2519" w:type="dxa"/>
            <w:gridSpan w:val="2"/>
            <w:tcBorders>
              <w:top w:val="single" w:sz="12" w:space="0" w:color="000000"/>
              <w:left w:val="single" w:sz="6" w:space="0" w:color="000000"/>
              <w:bottom w:val="single" w:sz="6" w:space="0" w:color="000000"/>
              <w:right w:val="single" w:sz="6" w:space="0" w:color="000000"/>
            </w:tcBorders>
            <w:hideMark/>
          </w:tcPr>
          <w:p w:rsidR="001D3CC4" w:rsidRDefault="001D3CC4">
            <w:pPr>
              <w:pStyle w:val="TableHead0"/>
              <w:spacing w:line="276" w:lineRule="auto"/>
              <w:rPr>
                <w:i/>
              </w:rPr>
            </w:pPr>
            <w:r>
              <w:t xml:space="preserve">OMB Circular A-87 and </w:t>
            </w:r>
            <w:r>
              <w:rPr>
                <w:i/>
              </w:rPr>
              <w:t>Cost Allocation Guide for State and Local Governments</w:t>
            </w:r>
            <w:r>
              <w:t>:</w:t>
            </w:r>
          </w:p>
          <w:p w:rsidR="001D3CC4" w:rsidRDefault="001D3CC4" w:rsidP="009E12F1">
            <w:pPr>
              <w:pStyle w:val="TableHead0"/>
              <w:spacing w:line="276" w:lineRule="auto"/>
            </w:pPr>
            <w:r>
              <w:t xml:space="preserve">School districts, ESCs, </w:t>
            </w:r>
            <w:r w:rsidR="009E12F1" w:rsidRPr="009E12F1">
              <w:rPr>
                <w:i/>
              </w:rPr>
              <w:t>all</w:t>
            </w:r>
            <w:r w:rsidR="009E12F1">
              <w:t xml:space="preserve"> </w:t>
            </w:r>
            <w:r>
              <w:t>open-enrollment charter schools</w:t>
            </w:r>
            <w:r w:rsidR="009E12F1">
              <w:t>,</w:t>
            </w:r>
            <w:r>
              <w:t xml:space="preserve"> and governmental entities</w:t>
            </w:r>
          </w:p>
        </w:tc>
        <w:tc>
          <w:tcPr>
            <w:tcW w:w="2520" w:type="dxa"/>
            <w:gridSpan w:val="2"/>
            <w:tcBorders>
              <w:top w:val="single" w:sz="12" w:space="0" w:color="000000"/>
              <w:left w:val="single" w:sz="6" w:space="0" w:color="000000"/>
              <w:bottom w:val="single" w:sz="6" w:space="0" w:color="000000"/>
              <w:right w:val="single" w:sz="6" w:space="0" w:color="000000"/>
            </w:tcBorders>
            <w:hideMark/>
          </w:tcPr>
          <w:p w:rsidR="001D3CC4" w:rsidRDefault="001D3CC4">
            <w:pPr>
              <w:pStyle w:val="TableHead0"/>
              <w:spacing w:line="276" w:lineRule="auto"/>
            </w:pPr>
            <w:r>
              <w:t xml:space="preserve">OMB Circular A-122 and </w:t>
            </w:r>
            <w:r>
              <w:rPr>
                <w:i/>
              </w:rPr>
              <w:t>Cost Allocation Guide for State and Local Governments</w:t>
            </w:r>
            <w:r>
              <w:t>:</w:t>
            </w:r>
          </w:p>
          <w:p w:rsidR="001D3CC4" w:rsidRDefault="001D3CC4" w:rsidP="009E12F1">
            <w:pPr>
              <w:pStyle w:val="TableHead0"/>
              <w:spacing w:line="276" w:lineRule="auto"/>
            </w:pPr>
            <w:r>
              <w:t>Nonprofit organizations</w:t>
            </w:r>
          </w:p>
        </w:tc>
        <w:tc>
          <w:tcPr>
            <w:tcW w:w="2790" w:type="dxa"/>
            <w:gridSpan w:val="2"/>
            <w:tcBorders>
              <w:top w:val="single" w:sz="12" w:space="0" w:color="000000"/>
              <w:left w:val="single" w:sz="6" w:space="0" w:color="000000"/>
              <w:bottom w:val="single" w:sz="6" w:space="0" w:color="000000"/>
              <w:right w:val="single" w:sz="12" w:space="0" w:color="000000"/>
            </w:tcBorders>
            <w:hideMark/>
          </w:tcPr>
          <w:p w:rsidR="001D3CC4" w:rsidRDefault="001D3CC4">
            <w:pPr>
              <w:pStyle w:val="TableHead0"/>
              <w:spacing w:line="276" w:lineRule="auto"/>
            </w:pPr>
            <w:r>
              <w:t xml:space="preserve">OMB Circular A-21 and </w:t>
            </w:r>
            <w:r>
              <w:rPr>
                <w:i/>
              </w:rPr>
              <w:t>Cost Allocation Guide for State and Local Governments</w:t>
            </w:r>
            <w:r>
              <w:t>:</w:t>
            </w:r>
          </w:p>
          <w:p w:rsidR="001D3CC4" w:rsidRDefault="001D3CC4" w:rsidP="00440326">
            <w:pPr>
              <w:pStyle w:val="TableHead0"/>
              <w:spacing w:line="276" w:lineRule="auto"/>
            </w:pPr>
            <w:r>
              <w:t>Educational institutions, i.e., institutions of higher education</w:t>
            </w:r>
          </w:p>
        </w:tc>
      </w:tr>
      <w:tr w:rsidR="001D3CC4" w:rsidTr="00440326">
        <w:trPr>
          <w:trHeight w:val="233"/>
        </w:trPr>
        <w:tc>
          <w:tcPr>
            <w:tcW w:w="2356" w:type="dxa"/>
            <w:vMerge/>
            <w:tcBorders>
              <w:top w:val="single" w:sz="12" w:space="0" w:color="000000"/>
              <w:left w:val="single" w:sz="12" w:space="0" w:color="000000"/>
              <w:bottom w:val="single" w:sz="6" w:space="0" w:color="000000"/>
              <w:right w:val="single" w:sz="6" w:space="0" w:color="000000"/>
            </w:tcBorders>
            <w:vAlign w:val="center"/>
            <w:hideMark/>
          </w:tcPr>
          <w:p w:rsidR="001D3CC4" w:rsidRDefault="001D3CC4">
            <w:pPr>
              <w:spacing w:after="0"/>
            </w:pPr>
          </w:p>
        </w:tc>
        <w:tc>
          <w:tcPr>
            <w:tcW w:w="2519" w:type="dxa"/>
            <w:gridSpan w:val="2"/>
            <w:tcBorders>
              <w:top w:val="single" w:sz="6" w:space="0" w:color="000000"/>
              <w:left w:val="single" w:sz="6" w:space="0" w:color="000000"/>
              <w:bottom w:val="dashed" w:sz="4" w:space="0" w:color="auto"/>
              <w:right w:val="single" w:sz="6" w:space="0" w:color="000000"/>
            </w:tcBorders>
            <w:vAlign w:val="bottom"/>
            <w:hideMark/>
          </w:tcPr>
          <w:p w:rsidR="001D3CC4" w:rsidRDefault="001D3CC4">
            <w:pPr>
              <w:spacing w:after="0" w:line="276" w:lineRule="auto"/>
              <w:jc w:val="center"/>
              <w:rPr>
                <w:b/>
              </w:rPr>
            </w:pPr>
            <w:r>
              <w:rPr>
                <w:b/>
              </w:rPr>
              <w:t>Type of Rate</w:t>
            </w:r>
          </w:p>
        </w:tc>
        <w:tc>
          <w:tcPr>
            <w:tcW w:w="2520" w:type="dxa"/>
            <w:gridSpan w:val="2"/>
            <w:tcBorders>
              <w:top w:val="single" w:sz="6" w:space="0" w:color="000000"/>
              <w:left w:val="single" w:sz="6" w:space="0" w:color="000000"/>
              <w:bottom w:val="dashed" w:sz="4" w:space="0" w:color="auto"/>
              <w:right w:val="single" w:sz="6" w:space="0" w:color="000000"/>
            </w:tcBorders>
            <w:vAlign w:val="bottom"/>
            <w:hideMark/>
          </w:tcPr>
          <w:p w:rsidR="001D3CC4" w:rsidRDefault="001D3CC4">
            <w:pPr>
              <w:spacing w:after="0" w:line="276" w:lineRule="auto"/>
              <w:jc w:val="center"/>
              <w:rPr>
                <w:b/>
              </w:rPr>
            </w:pPr>
            <w:r>
              <w:rPr>
                <w:b/>
              </w:rPr>
              <w:t>Type of Rate</w:t>
            </w:r>
          </w:p>
        </w:tc>
        <w:tc>
          <w:tcPr>
            <w:tcW w:w="2790" w:type="dxa"/>
            <w:gridSpan w:val="2"/>
            <w:tcBorders>
              <w:top w:val="single" w:sz="6" w:space="0" w:color="000000"/>
              <w:left w:val="single" w:sz="6" w:space="0" w:color="000000"/>
              <w:bottom w:val="dashed" w:sz="4" w:space="0" w:color="auto"/>
              <w:right w:val="single" w:sz="12" w:space="0" w:color="000000"/>
            </w:tcBorders>
            <w:vAlign w:val="bottom"/>
            <w:hideMark/>
          </w:tcPr>
          <w:p w:rsidR="001D3CC4" w:rsidRDefault="001D3CC4">
            <w:pPr>
              <w:spacing w:after="0" w:line="276" w:lineRule="auto"/>
              <w:jc w:val="center"/>
              <w:rPr>
                <w:b/>
              </w:rPr>
            </w:pPr>
            <w:r>
              <w:rPr>
                <w:b/>
              </w:rPr>
              <w:t>Type of Rate</w:t>
            </w:r>
          </w:p>
        </w:tc>
      </w:tr>
      <w:tr w:rsidR="001D3CC4" w:rsidTr="00440326">
        <w:trPr>
          <w:trHeight w:val="255"/>
        </w:trPr>
        <w:tc>
          <w:tcPr>
            <w:tcW w:w="2356" w:type="dxa"/>
            <w:vMerge/>
            <w:tcBorders>
              <w:top w:val="single" w:sz="12" w:space="0" w:color="000000"/>
              <w:left w:val="single" w:sz="12" w:space="0" w:color="000000"/>
              <w:bottom w:val="single" w:sz="6" w:space="0" w:color="000000"/>
              <w:right w:val="single" w:sz="6" w:space="0" w:color="000000"/>
            </w:tcBorders>
            <w:vAlign w:val="center"/>
            <w:hideMark/>
          </w:tcPr>
          <w:p w:rsidR="001D3CC4" w:rsidRDefault="001D3CC4">
            <w:pPr>
              <w:spacing w:after="0"/>
            </w:pPr>
          </w:p>
        </w:tc>
        <w:tc>
          <w:tcPr>
            <w:tcW w:w="1169" w:type="dxa"/>
            <w:tcBorders>
              <w:top w:val="dashed" w:sz="4" w:space="0" w:color="auto"/>
              <w:left w:val="single" w:sz="6" w:space="0" w:color="000000"/>
              <w:bottom w:val="single" w:sz="6" w:space="0" w:color="000000"/>
              <w:right w:val="dashed" w:sz="4" w:space="0" w:color="auto"/>
            </w:tcBorders>
            <w:vAlign w:val="bottom"/>
            <w:hideMark/>
          </w:tcPr>
          <w:p w:rsidR="001D3CC4" w:rsidRDefault="001D3CC4">
            <w:pPr>
              <w:spacing w:after="0" w:line="276" w:lineRule="auto"/>
              <w:jc w:val="center"/>
              <w:rPr>
                <w:b/>
              </w:rPr>
            </w:pPr>
            <w:r>
              <w:rPr>
                <w:b/>
              </w:rPr>
              <w:t>Restricted</w:t>
            </w:r>
          </w:p>
        </w:tc>
        <w:tc>
          <w:tcPr>
            <w:tcW w:w="1350" w:type="dxa"/>
            <w:tcBorders>
              <w:top w:val="dashed" w:sz="4" w:space="0" w:color="auto"/>
              <w:left w:val="dashed" w:sz="4" w:space="0" w:color="auto"/>
              <w:bottom w:val="single" w:sz="6" w:space="0" w:color="000000"/>
              <w:right w:val="single" w:sz="6" w:space="0" w:color="000000"/>
            </w:tcBorders>
            <w:vAlign w:val="bottom"/>
            <w:hideMark/>
          </w:tcPr>
          <w:p w:rsidR="001D3CC4" w:rsidRDefault="001D3CC4">
            <w:pPr>
              <w:spacing w:after="0" w:line="276" w:lineRule="auto"/>
              <w:jc w:val="center"/>
              <w:rPr>
                <w:b/>
              </w:rPr>
            </w:pPr>
            <w:r>
              <w:rPr>
                <w:b/>
              </w:rPr>
              <w:t>Unrestricted</w:t>
            </w:r>
          </w:p>
        </w:tc>
        <w:tc>
          <w:tcPr>
            <w:tcW w:w="1170" w:type="dxa"/>
            <w:tcBorders>
              <w:top w:val="dashed" w:sz="4" w:space="0" w:color="auto"/>
              <w:left w:val="single" w:sz="6" w:space="0" w:color="000000"/>
              <w:bottom w:val="single" w:sz="6" w:space="0" w:color="000000"/>
              <w:right w:val="dashed" w:sz="4" w:space="0" w:color="auto"/>
            </w:tcBorders>
            <w:vAlign w:val="bottom"/>
            <w:hideMark/>
          </w:tcPr>
          <w:p w:rsidR="001D3CC4" w:rsidRDefault="001D3CC4">
            <w:pPr>
              <w:spacing w:after="0" w:line="276" w:lineRule="auto"/>
              <w:jc w:val="center"/>
              <w:rPr>
                <w:b/>
              </w:rPr>
            </w:pPr>
            <w:r>
              <w:rPr>
                <w:b/>
              </w:rPr>
              <w:t>Restricted</w:t>
            </w:r>
          </w:p>
        </w:tc>
        <w:tc>
          <w:tcPr>
            <w:tcW w:w="1350" w:type="dxa"/>
            <w:tcBorders>
              <w:top w:val="dashed" w:sz="4" w:space="0" w:color="auto"/>
              <w:left w:val="dashed" w:sz="4" w:space="0" w:color="auto"/>
              <w:bottom w:val="single" w:sz="6" w:space="0" w:color="000000"/>
              <w:right w:val="single" w:sz="6" w:space="0" w:color="000000"/>
            </w:tcBorders>
            <w:vAlign w:val="bottom"/>
            <w:hideMark/>
          </w:tcPr>
          <w:p w:rsidR="001D3CC4" w:rsidRDefault="001D3CC4">
            <w:pPr>
              <w:spacing w:after="0" w:line="276" w:lineRule="auto"/>
              <w:jc w:val="center"/>
              <w:rPr>
                <w:b/>
              </w:rPr>
            </w:pPr>
            <w:r>
              <w:rPr>
                <w:b/>
              </w:rPr>
              <w:t>Unrestricted</w:t>
            </w:r>
          </w:p>
        </w:tc>
        <w:tc>
          <w:tcPr>
            <w:tcW w:w="1440" w:type="dxa"/>
            <w:tcBorders>
              <w:top w:val="dashed" w:sz="4" w:space="0" w:color="auto"/>
              <w:left w:val="single" w:sz="6" w:space="0" w:color="000000"/>
              <w:bottom w:val="single" w:sz="6" w:space="0" w:color="000000"/>
              <w:right w:val="dashed" w:sz="4" w:space="0" w:color="auto"/>
            </w:tcBorders>
            <w:vAlign w:val="bottom"/>
            <w:hideMark/>
          </w:tcPr>
          <w:p w:rsidR="001D3CC4" w:rsidRDefault="001D3CC4">
            <w:pPr>
              <w:spacing w:after="0" w:line="276" w:lineRule="auto"/>
              <w:jc w:val="center"/>
              <w:rPr>
                <w:b/>
              </w:rPr>
            </w:pPr>
            <w:r>
              <w:rPr>
                <w:b/>
              </w:rPr>
              <w:t>Restricted</w:t>
            </w:r>
          </w:p>
        </w:tc>
        <w:tc>
          <w:tcPr>
            <w:tcW w:w="1350" w:type="dxa"/>
            <w:tcBorders>
              <w:top w:val="dashed" w:sz="4" w:space="0" w:color="auto"/>
              <w:left w:val="dashed" w:sz="4" w:space="0" w:color="auto"/>
              <w:bottom w:val="single" w:sz="6" w:space="0" w:color="000000"/>
              <w:right w:val="single" w:sz="12" w:space="0" w:color="000000"/>
            </w:tcBorders>
            <w:vAlign w:val="bottom"/>
            <w:hideMark/>
          </w:tcPr>
          <w:p w:rsidR="001D3CC4" w:rsidRDefault="001D3CC4">
            <w:pPr>
              <w:spacing w:after="0" w:line="276" w:lineRule="auto"/>
              <w:jc w:val="center"/>
              <w:rPr>
                <w:b/>
              </w:rPr>
            </w:pPr>
            <w:r>
              <w:rPr>
                <w:b/>
              </w:rPr>
              <w:t>Unrestricted</w:t>
            </w:r>
          </w:p>
        </w:tc>
      </w:tr>
      <w:tr w:rsidR="001D3CC4" w:rsidTr="00440326">
        <w:tc>
          <w:tcPr>
            <w:tcW w:w="2356" w:type="dxa"/>
            <w:tcBorders>
              <w:top w:val="single" w:sz="6" w:space="0" w:color="000000"/>
              <w:left w:val="single" w:sz="12" w:space="0" w:color="000000"/>
              <w:bottom w:val="single" w:sz="6" w:space="0" w:color="000000"/>
              <w:right w:val="single" w:sz="6" w:space="0" w:color="000000"/>
            </w:tcBorders>
            <w:hideMark/>
          </w:tcPr>
          <w:p w:rsidR="001D3CC4" w:rsidRDefault="001D3CC4">
            <w:pPr>
              <w:spacing w:after="0" w:line="276" w:lineRule="auto"/>
              <w:rPr>
                <w:b/>
              </w:rPr>
            </w:pPr>
            <w:r>
              <w:rPr>
                <w:b/>
              </w:rPr>
              <w:t>6100—Payroll</w:t>
            </w:r>
          </w:p>
          <w:p w:rsidR="001D3CC4" w:rsidRDefault="001D3CC4">
            <w:pPr>
              <w:spacing w:after="0" w:line="276" w:lineRule="auto"/>
            </w:pPr>
            <w:r>
              <w:t>Exclude: Tuition Remission</w:t>
            </w:r>
          </w:p>
        </w:tc>
        <w:tc>
          <w:tcPr>
            <w:tcW w:w="1169" w:type="dxa"/>
            <w:tcBorders>
              <w:top w:val="single" w:sz="6" w:space="0" w:color="000000"/>
              <w:left w:val="single" w:sz="6" w:space="0" w:color="000000"/>
              <w:bottom w:val="single" w:sz="6" w:space="0" w:color="000000"/>
              <w:right w:val="dashed" w:sz="4" w:space="0" w:color="auto"/>
            </w:tcBorders>
            <w:vAlign w:val="center"/>
          </w:tcPr>
          <w:p w:rsidR="001D3CC4" w:rsidRDefault="001D3CC4">
            <w:pPr>
              <w:spacing w:after="0" w:line="276" w:lineRule="auto"/>
              <w:jc w:val="center"/>
              <w:rPr>
                <w:b/>
              </w:rPr>
            </w:pPr>
          </w:p>
        </w:tc>
        <w:tc>
          <w:tcPr>
            <w:tcW w:w="1350" w:type="dxa"/>
            <w:tcBorders>
              <w:top w:val="single" w:sz="6" w:space="0" w:color="000000"/>
              <w:left w:val="dashed" w:sz="4" w:space="0" w:color="auto"/>
              <w:bottom w:val="single" w:sz="6" w:space="0" w:color="000000"/>
              <w:right w:val="single" w:sz="6" w:space="0" w:color="000000"/>
            </w:tcBorders>
            <w:vAlign w:val="center"/>
          </w:tcPr>
          <w:p w:rsidR="001D3CC4" w:rsidRDefault="001D3CC4">
            <w:pPr>
              <w:spacing w:after="0" w:line="276" w:lineRule="auto"/>
              <w:jc w:val="center"/>
              <w:rPr>
                <w:b/>
              </w:rPr>
            </w:pPr>
          </w:p>
        </w:tc>
        <w:tc>
          <w:tcPr>
            <w:tcW w:w="1170" w:type="dxa"/>
            <w:tcBorders>
              <w:top w:val="single" w:sz="6" w:space="0" w:color="000000"/>
              <w:left w:val="single" w:sz="6" w:space="0" w:color="000000"/>
              <w:bottom w:val="single" w:sz="6" w:space="0" w:color="000000"/>
              <w:right w:val="dashed" w:sz="4" w:space="0" w:color="auto"/>
            </w:tcBorders>
            <w:vAlign w:val="center"/>
          </w:tcPr>
          <w:p w:rsidR="001D3CC4" w:rsidRDefault="001D3CC4">
            <w:pPr>
              <w:spacing w:after="0" w:line="276" w:lineRule="auto"/>
              <w:jc w:val="center"/>
              <w:rPr>
                <w:b/>
              </w:rPr>
            </w:pPr>
          </w:p>
        </w:tc>
        <w:tc>
          <w:tcPr>
            <w:tcW w:w="1350" w:type="dxa"/>
            <w:tcBorders>
              <w:top w:val="single" w:sz="6" w:space="0" w:color="000000"/>
              <w:left w:val="dashed" w:sz="4" w:space="0" w:color="auto"/>
              <w:bottom w:val="single" w:sz="6" w:space="0" w:color="000000"/>
              <w:right w:val="single" w:sz="6" w:space="0" w:color="000000"/>
            </w:tcBorders>
            <w:vAlign w:val="center"/>
          </w:tcPr>
          <w:p w:rsidR="001D3CC4" w:rsidRDefault="001D3CC4">
            <w:pPr>
              <w:spacing w:after="0" w:line="276" w:lineRule="auto"/>
              <w:jc w:val="center"/>
              <w:rPr>
                <w:b/>
              </w:rPr>
            </w:pPr>
          </w:p>
        </w:tc>
        <w:tc>
          <w:tcPr>
            <w:tcW w:w="1440" w:type="dxa"/>
            <w:tcBorders>
              <w:top w:val="single" w:sz="6" w:space="0" w:color="000000"/>
              <w:left w:val="single" w:sz="6" w:space="0" w:color="000000"/>
              <w:bottom w:val="single" w:sz="6" w:space="0" w:color="000000"/>
              <w:right w:val="dashed" w:sz="4" w:space="0" w:color="auto"/>
            </w:tcBorders>
            <w:vAlign w:val="center"/>
            <w:hideMark/>
          </w:tcPr>
          <w:p w:rsidR="001D3CC4" w:rsidRDefault="001D3CC4">
            <w:pPr>
              <w:spacing w:after="0" w:line="276" w:lineRule="auto"/>
              <w:jc w:val="center"/>
              <w:rPr>
                <w:b/>
              </w:rPr>
            </w:pPr>
            <w:r>
              <w:rPr>
                <w:b/>
              </w:rPr>
              <w:t>X</w:t>
            </w:r>
          </w:p>
        </w:tc>
        <w:tc>
          <w:tcPr>
            <w:tcW w:w="1350" w:type="dxa"/>
            <w:tcBorders>
              <w:top w:val="single" w:sz="6" w:space="0" w:color="000000"/>
              <w:left w:val="dashed" w:sz="4" w:space="0" w:color="auto"/>
              <w:bottom w:val="single" w:sz="6" w:space="0" w:color="000000"/>
              <w:right w:val="single" w:sz="12" w:space="0" w:color="000000"/>
            </w:tcBorders>
            <w:vAlign w:val="center"/>
            <w:hideMark/>
          </w:tcPr>
          <w:p w:rsidR="001D3CC4" w:rsidRDefault="001D3CC4">
            <w:pPr>
              <w:spacing w:after="0" w:line="276" w:lineRule="auto"/>
              <w:jc w:val="center"/>
              <w:rPr>
                <w:b/>
              </w:rPr>
            </w:pPr>
            <w:r>
              <w:rPr>
                <w:b/>
              </w:rPr>
              <w:t>X</w:t>
            </w:r>
          </w:p>
        </w:tc>
      </w:tr>
      <w:tr w:rsidR="001D3CC4" w:rsidTr="00440326">
        <w:tc>
          <w:tcPr>
            <w:tcW w:w="2356" w:type="dxa"/>
            <w:tcBorders>
              <w:top w:val="single" w:sz="6" w:space="0" w:color="000000"/>
              <w:left w:val="single" w:sz="12" w:space="0" w:color="000000"/>
              <w:bottom w:val="dotDotDash" w:sz="4" w:space="0" w:color="auto"/>
              <w:right w:val="single" w:sz="6" w:space="0" w:color="000000"/>
            </w:tcBorders>
            <w:vAlign w:val="center"/>
            <w:hideMark/>
          </w:tcPr>
          <w:p w:rsidR="001D3CC4" w:rsidRDefault="001D3CC4">
            <w:pPr>
              <w:tabs>
                <w:tab w:val="left" w:pos="175"/>
              </w:tabs>
              <w:spacing w:after="0" w:line="276" w:lineRule="auto"/>
              <w:rPr>
                <w:b/>
              </w:rPr>
            </w:pPr>
            <w:r>
              <w:rPr>
                <w:b/>
              </w:rPr>
              <w:t>6200—Professional and Contracted Services</w:t>
            </w:r>
          </w:p>
          <w:p w:rsidR="001D3CC4" w:rsidRDefault="001D3CC4">
            <w:pPr>
              <w:tabs>
                <w:tab w:val="left" w:pos="175"/>
              </w:tabs>
              <w:spacing w:after="0" w:line="276" w:lineRule="auto"/>
            </w:pPr>
            <w:r>
              <w:t>Exclude:</w:t>
            </w:r>
          </w:p>
          <w:p w:rsidR="001D3CC4" w:rsidRDefault="001D3CC4">
            <w:pPr>
              <w:tabs>
                <w:tab w:val="left" w:pos="175"/>
              </w:tabs>
              <w:spacing w:after="0" w:line="276" w:lineRule="auto"/>
              <w:ind w:left="175"/>
            </w:pPr>
            <w:r>
              <w:rPr>
                <w:b/>
              </w:rPr>
              <w:t>6269</w:t>
            </w:r>
            <w:r>
              <w:t xml:space="preserve"> - Rental or lease of buildings, space in buildings, or land</w:t>
            </w:r>
          </w:p>
        </w:tc>
        <w:tc>
          <w:tcPr>
            <w:tcW w:w="1169" w:type="dxa"/>
            <w:tcBorders>
              <w:top w:val="single" w:sz="6" w:space="0" w:color="000000"/>
              <w:left w:val="single" w:sz="6" w:space="0" w:color="000000"/>
              <w:bottom w:val="dotDotDash" w:sz="4" w:space="0" w:color="auto"/>
              <w:right w:val="dashed" w:sz="4" w:space="0" w:color="auto"/>
            </w:tcBorders>
            <w:vAlign w:val="center"/>
          </w:tcPr>
          <w:p w:rsidR="001D3CC4" w:rsidRDefault="001D3CC4">
            <w:pPr>
              <w:spacing w:after="0" w:line="276" w:lineRule="auto"/>
              <w:jc w:val="center"/>
            </w:pPr>
          </w:p>
        </w:tc>
        <w:tc>
          <w:tcPr>
            <w:tcW w:w="1350" w:type="dxa"/>
            <w:tcBorders>
              <w:top w:val="single" w:sz="6" w:space="0" w:color="000000"/>
              <w:left w:val="dashed" w:sz="4" w:space="0" w:color="auto"/>
              <w:bottom w:val="dotDotDash" w:sz="4" w:space="0" w:color="auto"/>
              <w:right w:val="single" w:sz="6" w:space="0" w:color="000000"/>
            </w:tcBorders>
            <w:vAlign w:val="center"/>
          </w:tcPr>
          <w:p w:rsidR="001D3CC4" w:rsidRDefault="001D3CC4">
            <w:pPr>
              <w:spacing w:after="0" w:line="276" w:lineRule="auto"/>
              <w:jc w:val="center"/>
            </w:pPr>
          </w:p>
        </w:tc>
        <w:tc>
          <w:tcPr>
            <w:tcW w:w="1170" w:type="dxa"/>
            <w:tcBorders>
              <w:top w:val="single" w:sz="6" w:space="0" w:color="000000"/>
              <w:left w:val="single" w:sz="6" w:space="0" w:color="000000"/>
              <w:bottom w:val="dotDotDash"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6" w:space="0" w:color="000000"/>
              <w:left w:val="dashed" w:sz="4" w:space="0" w:color="auto"/>
              <w:bottom w:val="dotDotDash" w:sz="4" w:space="0" w:color="auto"/>
              <w:right w:val="single" w:sz="6" w:space="0" w:color="000000"/>
            </w:tcBorders>
            <w:vAlign w:val="center"/>
            <w:hideMark/>
          </w:tcPr>
          <w:p w:rsidR="001D3CC4" w:rsidRDefault="001D3CC4">
            <w:pPr>
              <w:spacing w:after="0" w:line="276" w:lineRule="auto"/>
              <w:jc w:val="center"/>
            </w:pPr>
            <w:r>
              <w:rPr>
                <w:b/>
              </w:rPr>
              <w:t>X</w:t>
            </w:r>
          </w:p>
        </w:tc>
        <w:tc>
          <w:tcPr>
            <w:tcW w:w="1440" w:type="dxa"/>
            <w:tcBorders>
              <w:top w:val="single" w:sz="6" w:space="0" w:color="000000"/>
              <w:left w:val="single" w:sz="6" w:space="0" w:color="000000"/>
              <w:bottom w:val="dotDotDash"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6" w:space="0" w:color="000000"/>
              <w:left w:val="dashed" w:sz="4" w:space="0" w:color="auto"/>
              <w:bottom w:val="dotDotDash" w:sz="4" w:space="0" w:color="auto"/>
              <w:right w:val="single" w:sz="12" w:space="0" w:color="000000"/>
            </w:tcBorders>
            <w:vAlign w:val="center"/>
            <w:hideMark/>
          </w:tcPr>
          <w:p w:rsidR="001D3CC4" w:rsidRDefault="001D3CC4">
            <w:pPr>
              <w:spacing w:after="0" w:line="276" w:lineRule="auto"/>
              <w:jc w:val="center"/>
            </w:pPr>
            <w:r>
              <w:rPr>
                <w:b/>
              </w:rPr>
              <w:t>X</w:t>
            </w:r>
          </w:p>
        </w:tc>
      </w:tr>
      <w:tr w:rsidR="001D3CC4" w:rsidTr="00440326">
        <w:tc>
          <w:tcPr>
            <w:tcW w:w="2356" w:type="dxa"/>
            <w:tcBorders>
              <w:top w:val="dotDotDash" w:sz="4" w:space="0" w:color="auto"/>
              <w:left w:val="single" w:sz="12" w:space="0" w:color="000000"/>
              <w:bottom w:val="dotDotDash" w:sz="4" w:space="0" w:color="auto"/>
              <w:right w:val="single" w:sz="6" w:space="0" w:color="000000"/>
            </w:tcBorders>
            <w:vAlign w:val="center"/>
            <w:hideMark/>
          </w:tcPr>
          <w:p w:rsidR="001D3CC4" w:rsidRDefault="001D3CC4">
            <w:pPr>
              <w:tabs>
                <w:tab w:val="left" w:pos="175"/>
              </w:tabs>
              <w:spacing w:after="0" w:line="276" w:lineRule="auto"/>
              <w:ind w:left="175"/>
            </w:pPr>
            <w:r>
              <w:rPr>
                <w:b/>
              </w:rPr>
              <w:t>6200</w:t>
            </w:r>
            <w:r>
              <w:t>- Scholarships and Fellowships</w:t>
            </w:r>
          </w:p>
        </w:tc>
        <w:tc>
          <w:tcPr>
            <w:tcW w:w="1169" w:type="dxa"/>
            <w:tcBorders>
              <w:top w:val="dotDotDash" w:sz="4" w:space="0" w:color="auto"/>
              <w:left w:val="single" w:sz="6" w:space="0" w:color="000000"/>
              <w:bottom w:val="dotDotDash" w:sz="4" w:space="0" w:color="auto"/>
              <w:right w:val="dashed" w:sz="4" w:space="0" w:color="auto"/>
            </w:tcBorders>
            <w:vAlign w:val="center"/>
          </w:tcPr>
          <w:p w:rsidR="001D3CC4" w:rsidRDefault="001D3CC4">
            <w:pPr>
              <w:spacing w:after="0" w:line="276" w:lineRule="auto"/>
              <w:jc w:val="center"/>
            </w:pPr>
          </w:p>
        </w:tc>
        <w:tc>
          <w:tcPr>
            <w:tcW w:w="1350" w:type="dxa"/>
            <w:tcBorders>
              <w:top w:val="dotDotDash" w:sz="4" w:space="0" w:color="auto"/>
              <w:left w:val="dashed" w:sz="4" w:space="0" w:color="auto"/>
              <w:bottom w:val="dotDotDash" w:sz="4" w:space="0" w:color="auto"/>
              <w:right w:val="single" w:sz="6" w:space="0" w:color="000000"/>
            </w:tcBorders>
            <w:vAlign w:val="center"/>
          </w:tcPr>
          <w:p w:rsidR="001D3CC4" w:rsidRDefault="001D3CC4">
            <w:pPr>
              <w:spacing w:after="0" w:line="276" w:lineRule="auto"/>
              <w:jc w:val="center"/>
            </w:pPr>
          </w:p>
        </w:tc>
        <w:tc>
          <w:tcPr>
            <w:tcW w:w="1170" w:type="dxa"/>
            <w:tcBorders>
              <w:top w:val="dotDotDash" w:sz="4" w:space="0" w:color="auto"/>
              <w:left w:val="single" w:sz="6" w:space="0" w:color="000000"/>
              <w:bottom w:val="dotDotDash" w:sz="4" w:space="0" w:color="auto"/>
              <w:right w:val="dashed" w:sz="4" w:space="0" w:color="auto"/>
            </w:tcBorders>
            <w:vAlign w:val="center"/>
            <w:hideMark/>
          </w:tcPr>
          <w:p w:rsidR="001D3CC4" w:rsidRDefault="001D3CC4">
            <w:pPr>
              <w:spacing w:after="0" w:line="276" w:lineRule="auto"/>
              <w:jc w:val="center"/>
              <w:rPr>
                <w:b/>
              </w:rPr>
            </w:pPr>
            <w:r>
              <w:rPr>
                <w:b/>
              </w:rPr>
              <w:t>X</w:t>
            </w:r>
          </w:p>
          <w:p w:rsidR="001D3CC4" w:rsidRDefault="001D3CC4">
            <w:pPr>
              <w:spacing w:after="0" w:line="276" w:lineRule="auto"/>
              <w:jc w:val="center"/>
              <w:rPr>
                <w:b/>
                <w:sz w:val="16"/>
                <w:szCs w:val="16"/>
              </w:rPr>
            </w:pPr>
            <w:r>
              <w:rPr>
                <w:b/>
                <w:sz w:val="16"/>
                <w:szCs w:val="16"/>
              </w:rPr>
              <w:t xml:space="preserve">(Unallowable for </w:t>
            </w:r>
          </w:p>
          <w:p w:rsidR="001D3CC4" w:rsidRDefault="001D3CC4">
            <w:pPr>
              <w:spacing w:after="0" w:line="276" w:lineRule="auto"/>
              <w:jc w:val="center"/>
            </w:pPr>
            <w:r>
              <w:rPr>
                <w:b/>
                <w:sz w:val="16"/>
                <w:szCs w:val="16"/>
              </w:rPr>
              <w:t>Federal Grants)</w:t>
            </w:r>
          </w:p>
        </w:tc>
        <w:tc>
          <w:tcPr>
            <w:tcW w:w="1350" w:type="dxa"/>
            <w:tcBorders>
              <w:top w:val="dotDotDash" w:sz="4" w:space="0" w:color="auto"/>
              <w:left w:val="dashed" w:sz="4" w:space="0" w:color="auto"/>
              <w:bottom w:val="dotDotDash" w:sz="4" w:space="0" w:color="auto"/>
              <w:right w:val="single" w:sz="6" w:space="0" w:color="000000"/>
            </w:tcBorders>
            <w:vAlign w:val="center"/>
            <w:hideMark/>
          </w:tcPr>
          <w:p w:rsidR="001D3CC4" w:rsidRDefault="001D3CC4">
            <w:pPr>
              <w:spacing w:after="0" w:line="276" w:lineRule="auto"/>
              <w:jc w:val="center"/>
              <w:rPr>
                <w:b/>
              </w:rPr>
            </w:pPr>
            <w:r>
              <w:rPr>
                <w:b/>
              </w:rPr>
              <w:t>X</w:t>
            </w:r>
          </w:p>
          <w:p w:rsidR="001D3CC4" w:rsidRDefault="001D3CC4">
            <w:pPr>
              <w:spacing w:after="0" w:line="276" w:lineRule="auto"/>
              <w:jc w:val="center"/>
              <w:rPr>
                <w:b/>
                <w:sz w:val="16"/>
                <w:szCs w:val="16"/>
              </w:rPr>
            </w:pPr>
            <w:r>
              <w:rPr>
                <w:b/>
                <w:sz w:val="16"/>
                <w:szCs w:val="16"/>
              </w:rPr>
              <w:t xml:space="preserve">(Unallowable for </w:t>
            </w:r>
          </w:p>
          <w:p w:rsidR="001D3CC4" w:rsidRDefault="001D3CC4">
            <w:pPr>
              <w:spacing w:after="0" w:line="276" w:lineRule="auto"/>
              <w:jc w:val="center"/>
            </w:pPr>
            <w:r>
              <w:rPr>
                <w:b/>
                <w:sz w:val="16"/>
                <w:szCs w:val="16"/>
              </w:rPr>
              <w:t>Federal Grants)</w:t>
            </w:r>
          </w:p>
        </w:tc>
        <w:tc>
          <w:tcPr>
            <w:tcW w:w="1440" w:type="dxa"/>
            <w:tcBorders>
              <w:top w:val="dotDotDash" w:sz="4" w:space="0" w:color="auto"/>
              <w:left w:val="single" w:sz="6" w:space="0" w:color="000000"/>
              <w:bottom w:val="dotDotDash"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dotDotDash" w:sz="4" w:space="0" w:color="auto"/>
              <w:left w:val="dashed" w:sz="4" w:space="0" w:color="auto"/>
              <w:bottom w:val="dotDotDash" w:sz="4" w:space="0" w:color="auto"/>
              <w:right w:val="single" w:sz="12" w:space="0" w:color="000000"/>
            </w:tcBorders>
            <w:vAlign w:val="center"/>
            <w:hideMark/>
          </w:tcPr>
          <w:p w:rsidR="001D3CC4" w:rsidRDefault="001D3CC4">
            <w:pPr>
              <w:spacing w:after="0" w:line="276" w:lineRule="auto"/>
              <w:jc w:val="center"/>
            </w:pPr>
            <w:r>
              <w:rPr>
                <w:b/>
              </w:rPr>
              <w:t>X</w:t>
            </w:r>
          </w:p>
        </w:tc>
      </w:tr>
      <w:tr w:rsidR="001D3CC4" w:rsidTr="00440326">
        <w:tc>
          <w:tcPr>
            <w:tcW w:w="2356" w:type="dxa"/>
            <w:tcBorders>
              <w:top w:val="dotDotDash" w:sz="4" w:space="0" w:color="auto"/>
              <w:left w:val="single" w:sz="12" w:space="0" w:color="000000"/>
              <w:bottom w:val="dotDotDash" w:sz="4" w:space="0" w:color="auto"/>
              <w:right w:val="single" w:sz="6" w:space="0" w:color="000000"/>
            </w:tcBorders>
            <w:vAlign w:val="center"/>
            <w:hideMark/>
          </w:tcPr>
          <w:p w:rsidR="001D3CC4" w:rsidRDefault="001D3CC4">
            <w:pPr>
              <w:tabs>
                <w:tab w:val="left" w:pos="175"/>
              </w:tabs>
              <w:spacing w:after="0" w:line="276" w:lineRule="auto"/>
              <w:ind w:left="175"/>
            </w:pPr>
            <w:r>
              <w:rPr>
                <w:b/>
              </w:rPr>
              <w:t>6219</w:t>
            </w:r>
            <w:r>
              <w:t xml:space="preserve"> - The portion of each subcontract in excess of $25,000</w:t>
            </w:r>
          </w:p>
        </w:tc>
        <w:tc>
          <w:tcPr>
            <w:tcW w:w="1169" w:type="dxa"/>
            <w:tcBorders>
              <w:top w:val="dotDotDash" w:sz="4" w:space="0" w:color="auto"/>
              <w:left w:val="single" w:sz="6" w:space="0" w:color="000000"/>
              <w:bottom w:val="dotDotDash"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dotDotDash" w:sz="4" w:space="0" w:color="auto"/>
              <w:left w:val="dashed" w:sz="4" w:space="0" w:color="auto"/>
              <w:bottom w:val="dotDotDash" w:sz="4" w:space="0" w:color="auto"/>
              <w:right w:val="single" w:sz="6" w:space="0" w:color="000000"/>
            </w:tcBorders>
            <w:vAlign w:val="center"/>
            <w:hideMark/>
          </w:tcPr>
          <w:p w:rsidR="001D3CC4" w:rsidRDefault="001D3CC4">
            <w:pPr>
              <w:spacing w:after="0" w:line="276" w:lineRule="auto"/>
              <w:jc w:val="center"/>
            </w:pPr>
            <w:r>
              <w:rPr>
                <w:b/>
              </w:rPr>
              <w:t>X</w:t>
            </w:r>
          </w:p>
        </w:tc>
        <w:tc>
          <w:tcPr>
            <w:tcW w:w="1170" w:type="dxa"/>
            <w:tcBorders>
              <w:top w:val="dotDotDash" w:sz="4" w:space="0" w:color="auto"/>
              <w:left w:val="single" w:sz="6" w:space="0" w:color="000000"/>
              <w:bottom w:val="dotDotDash"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dotDotDash" w:sz="4" w:space="0" w:color="auto"/>
              <w:left w:val="dashed" w:sz="4" w:space="0" w:color="auto"/>
              <w:bottom w:val="dotDotDash" w:sz="4" w:space="0" w:color="auto"/>
              <w:right w:val="single" w:sz="6" w:space="0" w:color="000000"/>
            </w:tcBorders>
            <w:vAlign w:val="center"/>
            <w:hideMark/>
          </w:tcPr>
          <w:p w:rsidR="001D3CC4" w:rsidRDefault="001D3CC4">
            <w:pPr>
              <w:spacing w:after="0" w:line="276" w:lineRule="auto"/>
              <w:jc w:val="center"/>
            </w:pPr>
            <w:r>
              <w:rPr>
                <w:b/>
              </w:rPr>
              <w:t>X</w:t>
            </w:r>
          </w:p>
        </w:tc>
        <w:tc>
          <w:tcPr>
            <w:tcW w:w="1440" w:type="dxa"/>
            <w:tcBorders>
              <w:top w:val="dotDotDash" w:sz="4" w:space="0" w:color="auto"/>
              <w:left w:val="single" w:sz="6" w:space="0" w:color="000000"/>
              <w:bottom w:val="dotDotDash"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dotDotDash" w:sz="4" w:space="0" w:color="auto"/>
              <w:left w:val="dashed" w:sz="4" w:space="0" w:color="auto"/>
              <w:bottom w:val="dotDotDash" w:sz="4" w:space="0" w:color="auto"/>
              <w:right w:val="single" w:sz="12" w:space="0" w:color="000000"/>
            </w:tcBorders>
            <w:vAlign w:val="center"/>
            <w:hideMark/>
          </w:tcPr>
          <w:p w:rsidR="001D3CC4" w:rsidRDefault="001D3CC4">
            <w:pPr>
              <w:spacing w:after="0" w:line="276" w:lineRule="auto"/>
              <w:jc w:val="center"/>
            </w:pPr>
            <w:r>
              <w:rPr>
                <w:b/>
              </w:rPr>
              <w:t>X</w:t>
            </w:r>
          </w:p>
        </w:tc>
      </w:tr>
      <w:tr w:rsidR="001D3CC4" w:rsidTr="00440326">
        <w:tc>
          <w:tcPr>
            <w:tcW w:w="2356" w:type="dxa"/>
            <w:tcBorders>
              <w:top w:val="dotDotDash" w:sz="4" w:space="0" w:color="auto"/>
              <w:left w:val="single" w:sz="12" w:space="0" w:color="000000"/>
              <w:bottom w:val="single" w:sz="6" w:space="0" w:color="000000"/>
              <w:right w:val="single" w:sz="6" w:space="0" w:color="000000"/>
            </w:tcBorders>
            <w:vAlign w:val="center"/>
            <w:hideMark/>
          </w:tcPr>
          <w:p w:rsidR="001D3CC4" w:rsidRDefault="001D3CC4">
            <w:pPr>
              <w:tabs>
                <w:tab w:val="left" w:pos="0"/>
                <w:tab w:val="left" w:pos="175"/>
                <w:tab w:val="left" w:pos="450"/>
              </w:tabs>
              <w:spacing w:after="0" w:line="276" w:lineRule="auto"/>
              <w:ind w:left="175"/>
              <w:rPr>
                <w:b/>
              </w:rPr>
            </w:pPr>
            <w:r>
              <w:rPr>
                <w:b/>
              </w:rPr>
              <w:t>6290</w:t>
            </w:r>
            <w:r>
              <w:t xml:space="preserve"> - Subgrants, regardless of dollar amounts</w:t>
            </w:r>
          </w:p>
        </w:tc>
        <w:tc>
          <w:tcPr>
            <w:tcW w:w="1169" w:type="dxa"/>
            <w:tcBorders>
              <w:top w:val="dotDotDash" w:sz="4" w:space="0" w:color="auto"/>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dotDotDash" w:sz="4" w:space="0" w:color="auto"/>
              <w:left w:val="dashed" w:sz="4" w:space="0" w:color="auto"/>
              <w:bottom w:val="single" w:sz="6" w:space="0" w:color="000000"/>
              <w:right w:val="single" w:sz="6" w:space="0" w:color="000000"/>
            </w:tcBorders>
            <w:vAlign w:val="center"/>
            <w:hideMark/>
          </w:tcPr>
          <w:p w:rsidR="001D3CC4" w:rsidRDefault="001D3CC4">
            <w:pPr>
              <w:spacing w:after="0" w:line="276" w:lineRule="auto"/>
              <w:jc w:val="center"/>
            </w:pPr>
            <w:r>
              <w:rPr>
                <w:b/>
              </w:rPr>
              <w:t>X</w:t>
            </w:r>
          </w:p>
        </w:tc>
        <w:tc>
          <w:tcPr>
            <w:tcW w:w="1170" w:type="dxa"/>
            <w:tcBorders>
              <w:top w:val="dotDotDash" w:sz="4" w:space="0" w:color="auto"/>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dotDotDash" w:sz="4" w:space="0" w:color="auto"/>
              <w:left w:val="dashed" w:sz="4" w:space="0" w:color="auto"/>
              <w:bottom w:val="single" w:sz="6" w:space="0" w:color="000000"/>
              <w:right w:val="single" w:sz="6" w:space="0" w:color="000000"/>
            </w:tcBorders>
            <w:vAlign w:val="center"/>
            <w:hideMark/>
          </w:tcPr>
          <w:p w:rsidR="001D3CC4" w:rsidRDefault="001D3CC4">
            <w:pPr>
              <w:spacing w:after="0" w:line="276" w:lineRule="auto"/>
              <w:jc w:val="center"/>
            </w:pPr>
            <w:r>
              <w:rPr>
                <w:b/>
              </w:rPr>
              <w:t>X</w:t>
            </w:r>
          </w:p>
        </w:tc>
        <w:tc>
          <w:tcPr>
            <w:tcW w:w="1440" w:type="dxa"/>
            <w:tcBorders>
              <w:top w:val="dotDotDash" w:sz="4" w:space="0" w:color="auto"/>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dotDotDash" w:sz="4" w:space="0" w:color="auto"/>
              <w:left w:val="dashed" w:sz="4" w:space="0" w:color="auto"/>
              <w:bottom w:val="single" w:sz="6" w:space="0" w:color="000000"/>
              <w:right w:val="single" w:sz="12" w:space="0" w:color="000000"/>
            </w:tcBorders>
            <w:vAlign w:val="center"/>
            <w:hideMark/>
          </w:tcPr>
          <w:p w:rsidR="001D3CC4" w:rsidRDefault="001D3CC4">
            <w:pPr>
              <w:spacing w:after="0" w:line="276" w:lineRule="auto"/>
              <w:jc w:val="center"/>
            </w:pPr>
            <w:r>
              <w:rPr>
                <w:b/>
              </w:rPr>
              <w:t>X</w:t>
            </w:r>
          </w:p>
        </w:tc>
      </w:tr>
      <w:tr w:rsidR="001D3CC4" w:rsidTr="00440326">
        <w:tc>
          <w:tcPr>
            <w:tcW w:w="2356" w:type="dxa"/>
            <w:tcBorders>
              <w:top w:val="single" w:sz="6" w:space="0" w:color="000000"/>
              <w:left w:val="single" w:sz="12" w:space="0" w:color="000000"/>
              <w:bottom w:val="single" w:sz="6" w:space="0" w:color="000000"/>
              <w:right w:val="single" w:sz="6" w:space="0" w:color="000000"/>
            </w:tcBorders>
            <w:hideMark/>
          </w:tcPr>
          <w:p w:rsidR="001D3CC4" w:rsidRDefault="001D3CC4">
            <w:pPr>
              <w:tabs>
                <w:tab w:val="left" w:pos="180"/>
              </w:tabs>
              <w:spacing w:after="0" w:line="276" w:lineRule="auto"/>
              <w:ind w:left="180" w:hanging="180"/>
              <w:rPr>
                <w:b/>
              </w:rPr>
            </w:pPr>
            <w:r>
              <w:rPr>
                <w:b/>
              </w:rPr>
              <w:t>6500—Debt Service</w:t>
            </w:r>
            <w:r>
              <w:rPr>
                <w:b/>
              </w:rPr>
              <w:br/>
            </w:r>
            <w:r>
              <w:t>Exclude:  All costs in this category must be excluded prior to calculating indirect costs</w:t>
            </w:r>
          </w:p>
        </w:tc>
        <w:tc>
          <w:tcPr>
            <w:tcW w:w="1169" w:type="dxa"/>
            <w:tcBorders>
              <w:top w:val="single" w:sz="6" w:space="0" w:color="000000"/>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6" w:space="0" w:color="000000"/>
              <w:left w:val="dashed" w:sz="4" w:space="0" w:color="auto"/>
              <w:bottom w:val="single" w:sz="6" w:space="0" w:color="000000"/>
              <w:right w:val="single" w:sz="6" w:space="0" w:color="000000"/>
            </w:tcBorders>
            <w:vAlign w:val="center"/>
            <w:hideMark/>
          </w:tcPr>
          <w:p w:rsidR="001D3CC4" w:rsidRDefault="001D3CC4">
            <w:pPr>
              <w:spacing w:after="0" w:line="276" w:lineRule="auto"/>
              <w:jc w:val="center"/>
            </w:pPr>
            <w:r>
              <w:rPr>
                <w:b/>
              </w:rPr>
              <w:t>X</w:t>
            </w:r>
          </w:p>
        </w:tc>
        <w:tc>
          <w:tcPr>
            <w:tcW w:w="1170" w:type="dxa"/>
            <w:tcBorders>
              <w:top w:val="single" w:sz="6" w:space="0" w:color="000000"/>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6" w:space="0" w:color="000000"/>
              <w:left w:val="dashed" w:sz="4" w:space="0" w:color="auto"/>
              <w:bottom w:val="single" w:sz="6" w:space="0" w:color="000000"/>
              <w:right w:val="single" w:sz="6" w:space="0" w:color="000000"/>
            </w:tcBorders>
            <w:vAlign w:val="center"/>
            <w:hideMark/>
          </w:tcPr>
          <w:p w:rsidR="001D3CC4" w:rsidRDefault="001D3CC4">
            <w:pPr>
              <w:spacing w:after="0" w:line="276" w:lineRule="auto"/>
              <w:jc w:val="center"/>
            </w:pPr>
            <w:r>
              <w:rPr>
                <w:b/>
              </w:rPr>
              <w:t>X</w:t>
            </w:r>
          </w:p>
        </w:tc>
        <w:tc>
          <w:tcPr>
            <w:tcW w:w="1440" w:type="dxa"/>
            <w:tcBorders>
              <w:top w:val="single" w:sz="6" w:space="0" w:color="000000"/>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6" w:space="0" w:color="000000"/>
              <w:left w:val="dashed" w:sz="4" w:space="0" w:color="auto"/>
              <w:bottom w:val="single" w:sz="6" w:space="0" w:color="000000"/>
              <w:right w:val="single" w:sz="12" w:space="0" w:color="000000"/>
            </w:tcBorders>
            <w:vAlign w:val="center"/>
            <w:hideMark/>
          </w:tcPr>
          <w:p w:rsidR="001D3CC4" w:rsidRDefault="001D3CC4">
            <w:pPr>
              <w:spacing w:after="0" w:line="276" w:lineRule="auto"/>
              <w:jc w:val="center"/>
            </w:pPr>
            <w:r>
              <w:rPr>
                <w:b/>
              </w:rPr>
              <w:t>X</w:t>
            </w:r>
          </w:p>
        </w:tc>
      </w:tr>
      <w:tr w:rsidR="001D3CC4" w:rsidTr="00440326">
        <w:tc>
          <w:tcPr>
            <w:tcW w:w="2356" w:type="dxa"/>
            <w:tcBorders>
              <w:top w:val="single" w:sz="6" w:space="0" w:color="000000"/>
              <w:left w:val="single" w:sz="12" w:space="0" w:color="000000"/>
              <w:bottom w:val="single" w:sz="4" w:space="0" w:color="auto"/>
              <w:right w:val="single" w:sz="6" w:space="0" w:color="000000"/>
            </w:tcBorders>
            <w:hideMark/>
          </w:tcPr>
          <w:p w:rsidR="001D3CC4" w:rsidRDefault="001D3CC4">
            <w:pPr>
              <w:tabs>
                <w:tab w:val="left" w:pos="180"/>
              </w:tabs>
              <w:spacing w:after="0" w:line="276" w:lineRule="auto"/>
              <w:ind w:left="180" w:hanging="180"/>
              <w:rPr>
                <w:b/>
              </w:rPr>
            </w:pPr>
            <w:r>
              <w:rPr>
                <w:b/>
              </w:rPr>
              <w:t>6600—Capital Outlay</w:t>
            </w:r>
            <w:r>
              <w:rPr>
                <w:b/>
              </w:rPr>
              <w:br/>
            </w:r>
            <w:r>
              <w:t>Exclude:  All costs in this category must be excluded prior to calculating indirect costs</w:t>
            </w:r>
          </w:p>
        </w:tc>
        <w:tc>
          <w:tcPr>
            <w:tcW w:w="1169" w:type="dxa"/>
            <w:tcBorders>
              <w:top w:val="single" w:sz="6" w:space="0" w:color="000000"/>
              <w:left w:val="single" w:sz="6" w:space="0" w:color="000000"/>
              <w:bottom w:val="single"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6" w:space="0" w:color="000000"/>
              <w:left w:val="dashed" w:sz="4" w:space="0" w:color="auto"/>
              <w:bottom w:val="single" w:sz="4" w:space="0" w:color="auto"/>
              <w:right w:val="single" w:sz="6" w:space="0" w:color="000000"/>
            </w:tcBorders>
            <w:vAlign w:val="center"/>
            <w:hideMark/>
          </w:tcPr>
          <w:p w:rsidR="001D3CC4" w:rsidRDefault="001D3CC4">
            <w:pPr>
              <w:spacing w:after="0" w:line="276" w:lineRule="auto"/>
              <w:jc w:val="center"/>
            </w:pPr>
            <w:r>
              <w:rPr>
                <w:b/>
              </w:rPr>
              <w:t>X</w:t>
            </w:r>
          </w:p>
        </w:tc>
        <w:tc>
          <w:tcPr>
            <w:tcW w:w="1170" w:type="dxa"/>
            <w:tcBorders>
              <w:top w:val="single" w:sz="6" w:space="0" w:color="000000"/>
              <w:left w:val="single" w:sz="6" w:space="0" w:color="000000"/>
              <w:bottom w:val="single"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6" w:space="0" w:color="000000"/>
              <w:left w:val="dashed" w:sz="4" w:space="0" w:color="auto"/>
              <w:bottom w:val="single" w:sz="4" w:space="0" w:color="auto"/>
              <w:right w:val="single" w:sz="6" w:space="0" w:color="000000"/>
            </w:tcBorders>
            <w:vAlign w:val="center"/>
            <w:hideMark/>
          </w:tcPr>
          <w:p w:rsidR="001D3CC4" w:rsidRDefault="001D3CC4">
            <w:pPr>
              <w:spacing w:after="0" w:line="276" w:lineRule="auto"/>
              <w:jc w:val="center"/>
            </w:pPr>
            <w:r>
              <w:rPr>
                <w:b/>
              </w:rPr>
              <w:t>X</w:t>
            </w:r>
          </w:p>
        </w:tc>
        <w:tc>
          <w:tcPr>
            <w:tcW w:w="1440" w:type="dxa"/>
            <w:tcBorders>
              <w:top w:val="single" w:sz="6" w:space="0" w:color="000000"/>
              <w:left w:val="single" w:sz="6" w:space="0" w:color="000000"/>
              <w:bottom w:val="single" w:sz="4" w:space="0" w:color="auto"/>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6" w:space="0" w:color="000000"/>
              <w:left w:val="dashed" w:sz="4" w:space="0" w:color="auto"/>
              <w:bottom w:val="single" w:sz="4" w:space="0" w:color="auto"/>
              <w:right w:val="single" w:sz="12" w:space="0" w:color="000000"/>
            </w:tcBorders>
            <w:vAlign w:val="center"/>
            <w:hideMark/>
          </w:tcPr>
          <w:p w:rsidR="001D3CC4" w:rsidRDefault="001D3CC4">
            <w:pPr>
              <w:spacing w:after="0" w:line="276" w:lineRule="auto"/>
              <w:jc w:val="center"/>
            </w:pPr>
            <w:r>
              <w:rPr>
                <w:b/>
              </w:rPr>
              <w:t>X</w:t>
            </w:r>
          </w:p>
        </w:tc>
      </w:tr>
      <w:tr w:rsidR="001D3CC4" w:rsidTr="00440326">
        <w:tc>
          <w:tcPr>
            <w:tcW w:w="2356" w:type="dxa"/>
            <w:tcBorders>
              <w:top w:val="single" w:sz="4" w:space="0" w:color="auto"/>
              <w:left w:val="single" w:sz="12" w:space="0" w:color="000000"/>
              <w:bottom w:val="single" w:sz="6" w:space="0" w:color="000000"/>
              <w:right w:val="single" w:sz="6" w:space="0" w:color="000000"/>
            </w:tcBorders>
            <w:hideMark/>
          </w:tcPr>
          <w:p w:rsidR="001D3CC4" w:rsidRDefault="001D3CC4">
            <w:pPr>
              <w:tabs>
                <w:tab w:val="left" w:pos="180"/>
              </w:tabs>
              <w:spacing w:after="0" w:line="276" w:lineRule="auto"/>
              <w:ind w:left="180" w:hanging="180"/>
              <w:rPr>
                <w:b/>
              </w:rPr>
            </w:pPr>
            <w:r>
              <w:rPr>
                <w:b/>
              </w:rPr>
              <w:t>6620—Building Purchase, Construction, or Improvements</w:t>
            </w:r>
            <w:r>
              <w:rPr>
                <w:b/>
              </w:rPr>
              <w:br/>
            </w:r>
            <w:r>
              <w:t>Exclude:  All costs in this category must be excluded prior to calculating indirect costs</w:t>
            </w:r>
          </w:p>
        </w:tc>
        <w:tc>
          <w:tcPr>
            <w:tcW w:w="1169" w:type="dxa"/>
            <w:tcBorders>
              <w:top w:val="single" w:sz="4" w:space="0" w:color="auto"/>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4" w:space="0" w:color="auto"/>
              <w:left w:val="dashed" w:sz="4" w:space="0" w:color="auto"/>
              <w:bottom w:val="single" w:sz="6" w:space="0" w:color="000000"/>
              <w:right w:val="single" w:sz="6" w:space="0" w:color="000000"/>
            </w:tcBorders>
            <w:vAlign w:val="center"/>
            <w:hideMark/>
          </w:tcPr>
          <w:p w:rsidR="001D3CC4" w:rsidRDefault="001D3CC4">
            <w:pPr>
              <w:spacing w:after="0" w:line="276" w:lineRule="auto"/>
              <w:jc w:val="center"/>
            </w:pPr>
            <w:r>
              <w:rPr>
                <w:b/>
              </w:rPr>
              <w:t>X</w:t>
            </w:r>
          </w:p>
        </w:tc>
        <w:tc>
          <w:tcPr>
            <w:tcW w:w="1170" w:type="dxa"/>
            <w:tcBorders>
              <w:top w:val="single" w:sz="4" w:space="0" w:color="auto"/>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4" w:space="0" w:color="auto"/>
              <w:left w:val="dashed" w:sz="4" w:space="0" w:color="auto"/>
              <w:bottom w:val="single" w:sz="6" w:space="0" w:color="000000"/>
              <w:right w:val="single" w:sz="6" w:space="0" w:color="000000"/>
            </w:tcBorders>
            <w:vAlign w:val="center"/>
            <w:hideMark/>
          </w:tcPr>
          <w:p w:rsidR="001D3CC4" w:rsidRDefault="001D3CC4">
            <w:pPr>
              <w:spacing w:after="0" w:line="276" w:lineRule="auto"/>
              <w:jc w:val="center"/>
            </w:pPr>
            <w:r>
              <w:rPr>
                <w:b/>
              </w:rPr>
              <w:t>X</w:t>
            </w:r>
          </w:p>
        </w:tc>
        <w:tc>
          <w:tcPr>
            <w:tcW w:w="1440" w:type="dxa"/>
            <w:tcBorders>
              <w:top w:val="single" w:sz="4" w:space="0" w:color="auto"/>
              <w:left w:val="single" w:sz="6" w:space="0" w:color="000000"/>
              <w:bottom w:val="single" w:sz="6" w:space="0" w:color="000000"/>
              <w:right w:val="dashed" w:sz="4" w:space="0" w:color="auto"/>
            </w:tcBorders>
            <w:vAlign w:val="center"/>
            <w:hideMark/>
          </w:tcPr>
          <w:p w:rsidR="001D3CC4" w:rsidRDefault="001D3CC4">
            <w:pPr>
              <w:spacing w:after="0" w:line="276" w:lineRule="auto"/>
              <w:jc w:val="center"/>
            </w:pPr>
            <w:r>
              <w:rPr>
                <w:b/>
              </w:rPr>
              <w:t>X</w:t>
            </w:r>
          </w:p>
        </w:tc>
        <w:tc>
          <w:tcPr>
            <w:tcW w:w="1350" w:type="dxa"/>
            <w:tcBorders>
              <w:top w:val="single" w:sz="4" w:space="0" w:color="auto"/>
              <w:left w:val="dashed" w:sz="4" w:space="0" w:color="auto"/>
              <w:bottom w:val="single" w:sz="6" w:space="0" w:color="000000"/>
              <w:right w:val="single" w:sz="12" w:space="0" w:color="000000"/>
            </w:tcBorders>
            <w:vAlign w:val="center"/>
            <w:hideMark/>
          </w:tcPr>
          <w:p w:rsidR="001D3CC4" w:rsidRDefault="001D3CC4">
            <w:pPr>
              <w:spacing w:after="0" w:line="276" w:lineRule="auto"/>
              <w:jc w:val="center"/>
            </w:pPr>
            <w:r>
              <w:rPr>
                <w:b/>
              </w:rPr>
              <w:t>X</w:t>
            </w:r>
          </w:p>
        </w:tc>
      </w:tr>
      <w:tr w:rsidR="001D3CC4" w:rsidTr="00440326">
        <w:tc>
          <w:tcPr>
            <w:tcW w:w="2356" w:type="dxa"/>
            <w:tcBorders>
              <w:top w:val="single" w:sz="6" w:space="0" w:color="000000"/>
              <w:left w:val="single" w:sz="12" w:space="0" w:color="000000"/>
              <w:bottom w:val="single" w:sz="6" w:space="0" w:color="000000"/>
              <w:right w:val="single" w:sz="6" w:space="0" w:color="000000"/>
            </w:tcBorders>
            <w:hideMark/>
          </w:tcPr>
          <w:p w:rsidR="001D3CC4" w:rsidRDefault="001D3CC4">
            <w:pPr>
              <w:tabs>
                <w:tab w:val="left" w:pos="180"/>
              </w:tabs>
              <w:spacing w:after="0" w:line="276" w:lineRule="auto"/>
              <w:ind w:left="180" w:hanging="180"/>
              <w:rPr>
                <w:b/>
              </w:rPr>
            </w:pPr>
            <w:r>
              <w:rPr>
                <w:b/>
              </w:rPr>
              <w:t xml:space="preserve">Org 701 – Office of the Superintendent </w:t>
            </w:r>
            <w:r>
              <w:rPr>
                <w:b/>
              </w:rPr>
              <w:br/>
            </w:r>
            <w:r>
              <w:t>Exclude:  All costs in this category must be excluded prior to calculating indirect costs</w:t>
            </w:r>
          </w:p>
        </w:tc>
        <w:tc>
          <w:tcPr>
            <w:tcW w:w="1169" w:type="dxa"/>
            <w:tcBorders>
              <w:top w:val="single" w:sz="6" w:space="0" w:color="000000"/>
              <w:left w:val="single" w:sz="6" w:space="0" w:color="000000"/>
              <w:bottom w:val="single" w:sz="6" w:space="0" w:color="000000"/>
              <w:right w:val="dashed" w:sz="4" w:space="0" w:color="auto"/>
            </w:tcBorders>
            <w:vAlign w:val="center"/>
            <w:hideMark/>
          </w:tcPr>
          <w:p w:rsidR="001D3CC4" w:rsidRDefault="001D3CC4">
            <w:pPr>
              <w:spacing w:after="0" w:line="276" w:lineRule="auto"/>
              <w:jc w:val="center"/>
              <w:rPr>
                <w:b/>
              </w:rPr>
            </w:pPr>
            <w:r>
              <w:rPr>
                <w:b/>
              </w:rPr>
              <w:t>X</w:t>
            </w:r>
          </w:p>
        </w:tc>
        <w:tc>
          <w:tcPr>
            <w:tcW w:w="1350" w:type="dxa"/>
            <w:tcBorders>
              <w:top w:val="single" w:sz="6" w:space="0" w:color="000000"/>
              <w:left w:val="dashed" w:sz="4" w:space="0" w:color="auto"/>
              <w:bottom w:val="single" w:sz="6" w:space="0" w:color="000000"/>
              <w:right w:val="single" w:sz="6" w:space="0" w:color="000000"/>
            </w:tcBorders>
            <w:vAlign w:val="center"/>
          </w:tcPr>
          <w:p w:rsidR="001D3CC4" w:rsidRDefault="001D3CC4">
            <w:pPr>
              <w:spacing w:after="0" w:line="276" w:lineRule="auto"/>
              <w:jc w:val="center"/>
              <w:rPr>
                <w:b/>
              </w:rPr>
            </w:pPr>
          </w:p>
        </w:tc>
        <w:tc>
          <w:tcPr>
            <w:tcW w:w="1170" w:type="dxa"/>
            <w:tcBorders>
              <w:top w:val="single" w:sz="6" w:space="0" w:color="000000"/>
              <w:left w:val="single" w:sz="6" w:space="0" w:color="000000"/>
              <w:bottom w:val="single" w:sz="6" w:space="0" w:color="000000"/>
              <w:right w:val="dashed" w:sz="4" w:space="0" w:color="auto"/>
            </w:tcBorders>
            <w:vAlign w:val="center"/>
            <w:hideMark/>
          </w:tcPr>
          <w:p w:rsidR="001D3CC4" w:rsidRDefault="001D3CC4">
            <w:pPr>
              <w:spacing w:after="0" w:line="276" w:lineRule="auto"/>
              <w:jc w:val="center"/>
              <w:rPr>
                <w:b/>
              </w:rPr>
            </w:pPr>
            <w:r>
              <w:rPr>
                <w:b/>
              </w:rPr>
              <w:t>X</w:t>
            </w:r>
          </w:p>
        </w:tc>
        <w:tc>
          <w:tcPr>
            <w:tcW w:w="1350" w:type="dxa"/>
            <w:tcBorders>
              <w:top w:val="single" w:sz="6" w:space="0" w:color="000000"/>
              <w:left w:val="dashed" w:sz="4" w:space="0" w:color="auto"/>
              <w:bottom w:val="single" w:sz="6" w:space="0" w:color="000000"/>
              <w:right w:val="single" w:sz="6" w:space="0" w:color="000000"/>
            </w:tcBorders>
            <w:vAlign w:val="center"/>
          </w:tcPr>
          <w:p w:rsidR="001D3CC4" w:rsidRDefault="001D3CC4">
            <w:pPr>
              <w:spacing w:after="0" w:line="276" w:lineRule="auto"/>
              <w:jc w:val="center"/>
              <w:rPr>
                <w:b/>
              </w:rPr>
            </w:pPr>
          </w:p>
        </w:tc>
        <w:tc>
          <w:tcPr>
            <w:tcW w:w="1440" w:type="dxa"/>
            <w:tcBorders>
              <w:top w:val="single" w:sz="6" w:space="0" w:color="000000"/>
              <w:left w:val="single" w:sz="6" w:space="0" w:color="000000"/>
              <w:bottom w:val="single" w:sz="6" w:space="0" w:color="000000"/>
              <w:right w:val="dashed" w:sz="4" w:space="0" w:color="auto"/>
            </w:tcBorders>
            <w:vAlign w:val="center"/>
            <w:hideMark/>
          </w:tcPr>
          <w:p w:rsidR="001D3CC4" w:rsidRDefault="001D3CC4">
            <w:pPr>
              <w:spacing w:after="0" w:line="276" w:lineRule="auto"/>
              <w:jc w:val="center"/>
              <w:rPr>
                <w:b/>
              </w:rPr>
            </w:pPr>
            <w:r>
              <w:rPr>
                <w:b/>
              </w:rPr>
              <w:t>X</w:t>
            </w:r>
          </w:p>
        </w:tc>
        <w:tc>
          <w:tcPr>
            <w:tcW w:w="1350" w:type="dxa"/>
            <w:tcBorders>
              <w:top w:val="single" w:sz="6" w:space="0" w:color="000000"/>
              <w:left w:val="dashed" w:sz="4" w:space="0" w:color="auto"/>
              <w:bottom w:val="single" w:sz="6" w:space="0" w:color="000000"/>
              <w:right w:val="single" w:sz="12" w:space="0" w:color="000000"/>
            </w:tcBorders>
            <w:vAlign w:val="center"/>
          </w:tcPr>
          <w:p w:rsidR="001D3CC4" w:rsidRDefault="001D3CC4">
            <w:pPr>
              <w:spacing w:after="0" w:line="276" w:lineRule="auto"/>
              <w:jc w:val="center"/>
              <w:rPr>
                <w:b/>
              </w:rPr>
            </w:pPr>
          </w:p>
        </w:tc>
      </w:tr>
      <w:tr w:rsidR="001D3CC4" w:rsidTr="00440326">
        <w:tc>
          <w:tcPr>
            <w:tcW w:w="2356" w:type="dxa"/>
            <w:tcBorders>
              <w:top w:val="single" w:sz="6" w:space="0" w:color="000000"/>
              <w:left w:val="single" w:sz="12" w:space="0" w:color="000000"/>
              <w:bottom w:val="single" w:sz="12" w:space="0" w:color="000000"/>
              <w:right w:val="single" w:sz="6" w:space="0" w:color="000000"/>
            </w:tcBorders>
            <w:hideMark/>
          </w:tcPr>
          <w:p w:rsidR="001D3CC4" w:rsidRDefault="001D3CC4">
            <w:pPr>
              <w:tabs>
                <w:tab w:val="left" w:pos="180"/>
              </w:tabs>
              <w:spacing w:after="0" w:line="276" w:lineRule="auto"/>
              <w:ind w:left="180" w:hanging="180"/>
              <w:rPr>
                <w:b/>
              </w:rPr>
            </w:pPr>
            <w:r>
              <w:rPr>
                <w:b/>
              </w:rPr>
              <w:t xml:space="preserve">Function 51, 6100-6400 – Operations and Maintenance of Plant </w:t>
            </w:r>
            <w:r>
              <w:rPr>
                <w:b/>
              </w:rPr>
              <w:br/>
            </w:r>
            <w:r>
              <w:t>Exclude:  All costs in this category must be excluded prior to calculating indirect costs</w:t>
            </w:r>
          </w:p>
        </w:tc>
        <w:tc>
          <w:tcPr>
            <w:tcW w:w="1169" w:type="dxa"/>
            <w:tcBorders>
              <w:top w:val="single" w:sz="6" w:space="0" w:color="000000"/>
              <w:left w:val="single" w:sz="6" w:space="0" w:color="000000"/>
              <w:bottom w:val="single" w:sz="12" w:space="0" w:color="000000"/>
              <w:right w:val="dashed" w:sz="4" w:space="0" w:color="auto"/>
            </w:tcBorders>
            <w:vAlign w:val="center"/>
            <w:hideMark/>
          </w:tcPr>
          <w:p w:rsidR="001D3CC4" w:rsidRDefault="001D3CC4">
            <w:pPr>
              <w:spacing w:after="0" w:line="276" w:lineRule="auto"/>
              <w:jc w:val="center"/>
              <w:rPr>
                <w:b/>
              </w:rPr>
            </w:pPr>
            <w:r>
              <w:rPr>
                <w:b/>
              </w:rPr>
              <w:t>X</w:t>
            </w:r>
          </w:p>
        </w:tc>
        <w:tc>
          <w:tcPr>
            <w:tcW w:w="1350" w:type="dxa"/>
            <w:tcBorders>
              <w:top w:val="single" w:sz="6" w:space="0" w:color="000000"/>
              <w:left w:val="dashed" w:sz="4" w:space="0" w:color="auto"/>
              <w:bottom w:val="single" w:sz="12" w:space="0" w:color="000000"/>
              <w:right w:val="single" w:sz="6" w:space="0" w:color="000000"/>
            </w:tcBorders>
            <w:vAlign w:val="center"/>
          </w:tcPr>
          <w:p w:rsidR="001D3CC4" w:rsidRDefault="001D3CC4">
            <w:pPr>
              <w:spacing w:after="0" w:line="276" w:lineRule="auto"/>
              <w:jc w:val="center"/>
              <w:rPr>
                <w:b/>
              </w:rPr>
            </w:pPr>
          </w:p>
        </w:tc>
        <w:tc>
          <w:tcPr>
            <w:tcW w:w="1170" w:type="dxa"/>
            <w:tcBorders>
              <w:top w:val="single" w:sz="6" w:space="0" w:color="000000"/>
              <w:left w:val="single" w:sz="6" w:space="0" w:color="000000"/>
              <w:bottom w:val="single" w:sz="12" w:space="0" w:color="000000"/>
              <w:right w:val="dashed" w:sz="4" w:space="0" w:color="auto"/>
            </w:tcBorders>
            <w:vAlign w:val="center"/>
            <w:hideMark/>
          </w:tcPr>
          <w:p w:rsidR="001D3CC4" w:rsidRDefault="001D3CC4">
            <w:pPr>
              <w:spacing w:after="0" w:line="276" w:lineRule="auto"/>
              <w:jc w:val="center"/>
              <w:rPr>
                <w:b/>
              </w:rPr>
            </w:pPr>
            <w:r>
              <w:rPr>
                <w:b/>
              </w:rPr>
              <w:t>X</w:t>
            </w:r>
          </w:p>
        </w:tc>
        <w:tc>
          <w:tcPr>
            <w:tcW w:w="1350" w:type="dxa"/>
            <w:tcBorders>
              <w:top w:val="single" w:sz="6" w:space="0" w:color="000000"/>
              <w:left w:val="dashed" w:sz="4" w:space="0" w:color="auto"/>
              <w:bottom w:val="single" w:sz="12" w:space="0" w:color="000000"/>
              <w:right w:val="single" w:sz="6" w:space="0" w:color="000000"/>
            </w:tcBorders>
            <w:vAlign w:val="center"/>
          </w:tcPr>
          <w:p w:rsidR="001D3CC4" w:rsidRDefault="001D3CC4">
            <w:pPr>
              <w:spacing w:after="0" w:line="276" w:lineRule="auto"/>
              <w:jc w:val="center"/>
              <w:rPr>
                <w:b/>
              </w:rPr>
            </w:pPr>
          </w:p>
        </w:tc>
        <w:tc>
          <w:tcPr>
            <w:tcW w:w="1440" w:type="dxa"/>
            <w:tcBorders>
              <w:top w:val="single" w:sz="6" w:space="0" w:color="000000"/>
              <w:left w:val="single" w:sz="6" w:space="0" w:color="000000"/>
              <w:bottom w:val="single" w:sz="12" w:space="0" w:color="000000"/>
              <w:right w:val="dashed" w:sz="4" w:space="0" w:color="auto"/>
            </w:tcBorders>
            <w:vAlign w:val="center"/>
            <w:hideMark/>
          </w:tcPr>
          <w:p w:rsidR="001D3CC4" w:rsidRDefault="001D3CC4">
            <w:pPr>
              <w:spacing w:after="0" w:line="276" w:lineRule="auto"/>
              <w:jc w:val="center"/>
              <w:rPr>
                <w:b/>
              </w:rPr>
            </w:pPr>
            <w:r>
              <w:rPr>
                <w:b/>
              </w:rPr>
              <w:t>X</w:t>
            </w:r>
          </w:p>
        </w:tc>
        <w:tc>
          <w:tcPr>
            <w:tcW w:w="1350" w:type="dxa"/>
            <w:tcBorders>
              <w:top w:val="single" w:sz="6" w:space="0" w:color="000000"/>
              <w:left w:val="dashed" w:sz="4" w:space="0" w:color="auto"/>
              <w:bottom w:val="single" w:sz="12" w:space="0" w:color="000000"/>
              <w:right w:val="single" w:sz="12" w:space="0" w:color="000000"/>
            </w:tcBorders>
            <w:vAlign w:val="center"/>
          </w:tcPr>
          <w:p w:rsidR="001D3CC4" w:rsidRDefault="001D3CC4">
            <w:pPr>
              <w:spacing w:after="0" w:line="276" w:lineRule="auto"/>
              <w:jc w:val="center"/>
              <w:rPr>
                <w:b/>
              </w:rPr>
            </w:pPr>
          </w:p>
        </w:tc>
      </w:tr>
    </w:tbl>
    <w:p w:rsidR="001D3CC4" w:rsidRDefault="001D3CC4" w:rsidP="001D3CC4">
      <w:pPr>
        <w:spacing w:after="0"/>
        <w:jc w:val="center"/>
      </w:pPr>
    </w:p>
    <w:p w:rsidR="008D6C30" w:rsidRDefault="008D6C30">
      <w:pPr>
        <w:spacing w:after="0"/>
      </w:pPr>
      <w:r>
        <w:br w:type="page"/>
      </w:r>
    </w:p>
    <w:p w:rsidR="00603DCB" w:rsidRPr="00603DCB" w:rsidRDefault="00603DCB" w:rsidP="00603DCB">
      <w:pPr>
        <w:rPr>
          <w:bCs/>
          <w:sz w:val="24"/>
          <w:szCs w:val="24"/>
        </w:rPr>
      </w:pPr>
      <w:r w:rsidRPr="00603DCB">
        <w:rPr>
          <w:b/>
          <w:bCs/>
          <w:sz w:val="24"/>
          <w:szCs w:val="24"/>
        </w:rPr>
        <w:t xml:space="preserve">Copyright © Notice. </w:t>
      </w:r>
      <w:r w:rsidRPr="00603DCB">
        <w:rPr>
          <w:bCs/>
          <w:sz w:val="24"/>
          <w:szCs w:val="24"/>
        </w:rPr>
        <w:t xml:space="preserve"> The materials are copyrighted © and trademarked ™ as the property of the Texas Education Agency (TEA) and may not be reproduced without the express written permission of TEA, except under the following conditions:</w:t>
      </w:r>
    </w:p>
    <w:p w:rsidR="00603DCB" w:rsidRPr="00603DCB" w:rsidRDefault="00603DCB" w:rsidP="00603DCB">
      <w:pPr>
        <w:numPr>
          <w:ilvl w:val="0"/>
          <w:numId w:val="34"/>
        </w:numPr>
        <w:spacing w:after="0"/>
        <w:ind w:left="720" w:hanging="360"/>
        <w:rPr>
          <w:bCs/>
          <w:sz w:val="24"/>
          <w:szCs w:val="24"/>
        </w:rPr>
      </w:pPr>
      <w:r w:rsidRPr="00603DCB">
        <w:rPr>
          <w:bCs/>
          <w:sz w:val="24"/>
          <w:szCs w:val="24"/>
        </w:rPr>
        <w:t>Texas public school districts, charter schools, and Education Service Centers may reproduce and use copies of the Materials and Related Materials for the districts’ and schools’ educational use without obtaining permission from TEA.</w:t>
      </w:r>
    </w:p>
    <w:p w:rsidR="00603DCB" w:rsidRPr="00603DCB" w:rsidRDefault="00603DCB" w:rsidP="00603DCB">
      <w:pPr>
        <w:numPr>
          <w:ilvl w:val="0"/>
          <w:numId w:val="34"/>
        </w:numPr>
        <w:spacing w:after="0"/>
        <w:ind w:left="720" w:hanging="360"/>
        <w:rPr>
          <w:bCs/>
          <w:sz w:val="24"/>
          <w:szCs w:val="24"/>
        </w:rPr>
      </w:pPr>
      <w:r w:rsidRPr="00603DCB">
        <w:rPr>
          <w:bCs/>
          <w:sz w:val="24"/>
          <w:szCs w:val="24"/>
        </w:rPr>
        <w:t xml:space="preserve"> Residents of the state of Texas may reproduce and use copies of the Materials and Related Materials for individual personal use only without obtaining written permission of TEA.</w:t>
      </w:r>
    </w:p>
    <w:p w:rsidR="00603DCB" w:rsidRPr="00603DCB" w:rsidRDefault="00603DCB" w:rsidP="00603DCB">
      <w:pPr>
        <w:numPr>
          <w:ilvl w:val="0"/>
          <w:numId w:val="34"/>
        </w:numPr>
        <w:spacing w:after="0"/>
        <w:ind w:left="720" w:hanging="360"/>
        <w:rPr>
          <w:bCs/>
          <w:sz w:val="24"/>
          <w:szCs w:val="24"/>
        </w:rPr>
      </w:pPr>
      <w:r w:rsidRPr="00603DCB">
        <w:rPr>
          <w:bCs/>
          <w:sz w:val="24"/>
          <w:szCs w:val="24"/>
        </w:rPr>
        <w:t>Any portion reproduced must be reproduced in its entirety and remain unedited, unaltered and unchanged in any way.</w:t>
      </w:r>
    </w:p>
    <w:p w:rsidR="00603DCB" w:rsidRPr="00603DCB" w:rsidRDefault="00603DCB" w:rsidP="00603DCB">
      <w:pPr>
        <w:numPr>
          <w:ilvl w:val="0"/>
          <w:numId w:val="34"/>
        </w:numPr>
        <w:spacing w:after="0"/>
        <w:ind w:left="720" w:hanging="360"/>
        <w:rPr>
          <w:bCs/>
          <w:sz w:val="24"/>
          <w:szCs w:val="24"/>
        </w:rPr>
      </w:pPr>
      <w:r w:rsidRPr="00603DCB">
        <w:rPr>
          <w:bCs/>
          <w:sz w:val="24"/>
          <w:szCs w:val="24"/>
        </w:rPr>
        <w:t>No monetary charge can be made for the reproduced materials or any document containing them; however, a reasonable charge to cover only the cost of reproduction and distribution may be charged.</w:t>
      </w:r>
    </w:p>
    <w:p w:rsidR="00603DCB" w:rsidRPr="00603DCB" w:rsidRDefault="00603DCB" w:rsidP="00603DCB">
      <w:pPr>
        <w:rPr>
          <w:bCs/>
          <w:sz w:val="24"/>
          <w:szCs w:val="24"/>
        </w:rPr>
      </w:pPr>
      <w:r w:rsidRPr="00603DCB">
        <w:rPr>
          <w:bCs/>
          <w:sz w:val="24"/>
          <w:szCs w:val="24"/>
        </w:rPr>
        <w:t>Private entities or persons located in Texas that are not Texas public school districts, Texas Education Service Centers, or Texas charter schools or any entity, whether public or private, educational or non-educational, located outside the state of Texas MUST obtain written approval from TEA and will be required to enter into a license agreement that may involve the payment of a licensing fee or a royalty.</w:t>
      </w:r>
    </w:p>
    <w:p w:rsidR="00456E9A" w:rsidRPr="00603DCB" w:rsidRDefault="00B31CBF" w:rsidP="00456E9A">
      <w:pPr>
        <w:rPr>
          <w:rFonts w:cs="Times New Roman"/>
          <w:sz w:val="24"/>
          <w:szCs w:val="24"/>
        </w:rPr>
      </w:pPr>
      <w:r>
        <w:rPr>
          <w:bCs/>
          <w:sz w:val="24"/>
          <w:szCs w:val="24"/>
        </w:rPr>
        <w:t>For information contact</w:t>
      </w:r>
      <w:r w:rsidR="00603DCB">
        <w:rPr>
          <w:bCs/>
          <w:sz w:val="24"/>
          <w:szCs w:val="24"/>
        </w:rPr>
        <w:t xml:space="preserve">: </w:t>
      </w:r>
      <w:r w:rsidR="00603DCB" w:rsidRPr="00603DCB">
        <w:rPr>
          <w:bCs/>
          <w:sz w:val="24"/>
          <w:szCs w:val="24"/>
        </w:rPr>
        <w:t xml:space="preserve">Texas Education Agency, 1701 N. Congress Ave., Austin, TX 78701-1494; email: </w:t>
      </w:r>
      <w:hyperlink r:id="rId13" w:history="1">
        <w:r w:rsidR="00603DCB" w:rsidRPr="00603DCB">
          <w:rPr>
            <w:rStyle w:val="Hyperlink"/>
            <w:bCs/>
            <w:sz w:val="24"/>
            <w:szCs w:val="24"/>
          </w:rPr>
          <w:t>copyrights@tea.state.tx.us</w:t>
        </w:r>
      </w:hyperlink>
      <w:r w:rsidR="00603DCB" w:rsidRPr="00603DCB">
        <w:rPr>
          <w:bCs/>
          <w:sz w:val="24"/>
          <w:szCs w:val="24"/>
        </w:rPr>
        <w:t xml:space="preserve">. </w:t>
      </w:r>
    </w:p>
    <w:sectPr w:rsidR="00456E9A" w:rsidRPr="00603DCB" w:rsidSect="00041FA3">
      <w:footerReference w:type="default" r:id="rId14"/>
      <w:footerReference w:type="first" r:id="rId15"/>
      <w:pgSz w:w="12240" w:h="15840"/>
      <w:pgMar w:top="643" w:right="1440" w:bottom="810" w:left="1440" w:header="720" w:footer="6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B5" w:rsidRDefault="00B472B5" w:rsidP="009478A5">
      <w:pPr>
        <w:spacing w:after="0"/>
      </w:pPr>
      <w:r>
        <w:separator/>
      </w:r>
    </w:p>
    <w:p w:rsidR="00B472B5" w:rsidRDefault="00B472B5"/>
  </w:endnote>
  <w:endnote w:type="continuationSeparator" w:id="0">
    <w:p w:rsidR="00B472B5" w:rsidRDefault="00B472B5" w:rsidP="009478A5">
      <w:pPr>
        <w:spacing w:after="0"/>
      </w:pPr>
      <w:r>
        <w:continuationSeparator/>
      </w:r>
    </w:p>
    <w:p w:rsidR="00B472B5" w:rsidRDefault="00B4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26066"/>
      <w:docPartObj>
        <w:docPartGallery w:val="Page Numbers (Bottom of Page)"/>
        <w:docPartUnique/>
      </w:docPartObj>
    </w:sdtPr>
    <w:sdtEndPr>
      <w:rPr>
        <w:noProof/>
      </w:rPr>
    </w:sdtEndPr>
    <w:sdtContent>
      <w:p w:rsidR="008D6C30" w:rsidRDefault="008D6C30" w:rsidP="008D6C30">
        <w:pPr>
          <w:pStyle w:val="Footer"/>
          <w:jc w:val="center"/>
        </w:pPr>
        <w:r>
          <w:fldChar w:fldCharType="begin"/>
        </w:r>
        <w:r>
          <w:instrText xml:space="preserve"> PAGE   \* MERGEFORMAT </w:instrText>
        </w:r>
        <w:r>
          <w:fldChar w:fldCharType="separate"/>
        </w:r>
        <w:r w:rsidR="002C7A5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79685"/>
      <w:docPartObj>
        <w:docPartGallery w:val="Page Numbers (Bottom of Page)"/>
        <w:docPartUnique/>
      </w:docPartObj>
    </w:sdtPr>
    <w:sdtEndPr>
      <w:rPr>
        <w:noProof/>
      </w:rPr>
    </w:sdtEndPr>
    <w:sdtContent>
      <w:p w:rsidR="00B472B5" w:rsidRPr="00BE56C1" w:rsidRDefault="008D6C30" w:rsidP="008D6C30">
        <w:pPr>
          <w:pStyle w:val="Footer"/>
          <w:jc w:val="center"/>
        </w:pPr>
        <w:r>
          <w:fldChar w:fldCharType="begin"/>
        </w:r>
        <w:r>
          <w:instrText xml:space="preserve"> PAGE   \* MERGEFORMAT </w:instrText>
        </w:r>
        <w:r>
          <w:fldChar w:fldCharType="separate"/>
        </w:r>
        <w:r w:rsidR="002C7A5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B5" w:rsidRDefault="00B472B5" w:rsidP="009478A5">
      <w:pPr>
        <w:spacing w:after="0"/>
      </w:pPr>
      <w:r>
        <w:separator/>
      </w:r>
    </w:p>
    <w:p w:rsidR="00B472B5" w:rsidRDefault="00B472B5"/>
  </w:footnote>
  <w:footnote w:type="continuationSeparator" w:id="0">
    <w:p w:rsidR="00B472B5" w:rsidRDefault="00B472B5" w:rsidP="009478A5">
      <w:pPr>
        <w:spacing w:after="0"/>
      </w:pPr>
      <w:r>
        <w:continuationSeparator/>
      </w:r>
    </w:p>
    <w:p w:rsidR="00B472B5" w:rsidRDefault="00B472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346"/>
    <w:multiLevelType w:val="hybridMultilevel"/>
    <w:tmpl w:val="38BC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750"/>
    <w:multiLevelType w:val="hybridMultilevel"/>
    <w:tmpl w:val="64769A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A60B6"/>
    <w:multiLevelType w:val="hybridMultilevel"/>
    <w:tmpl w:val="F262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82D82"/>
    <w:multiLevelType w:val="hybridMultilevel"/>
    <w:tmpl w:val="5D76E946"/>
    <w:lvl w:ilvl="0" w:tplc="E4260424">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71ADF"/>
    <w:multiLevelType w:val="hybridMultilevel"/>
    <w:tmpl w:val="3FF4CF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BD4A8B"/>
    <w:multiLevelType w:val="hybridMultilevel"/>
    <w:tmpl w:val="146CD9EC"/>
    <w:lvl w:ilvl="0" w:tplc="4CD86446">
      <w:start w:val="1"/>
      <w:numFmt w:val="decimal"/>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E341D71"/>
    <w:multiLevelType w:val="hybridMultilevel"/>
    <w:tmpl w:val="6EEE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B32FD"/>
    <w:multiLevelType w:val="hybridMultilevel"/>
    <w:tmpl w:val="A5C0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13BA8"/>
    <w:multiLevelType w:val="hybridMultilevel"/>
    <w:tmpl w:val="9DBC9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227B7"/>
    <w:multiLevelType w:val="hybridMultilevel"/>
    <w:tmpl w:val="03B4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65962"/>
    <w:multiLevelType w:val="hybridMultilevel"/>
    <w:tmpl w:val="BDD8BE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ED2C67"/>
    <w:multiLevelType w:val="hybridMultilevel"/>
    <w:tmpl w:val="6248D9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612B7E"/>
    <w:multiLevelType w:val="hybridMultilevel"/>
    <w:tmpl w:val="5E46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22502"/>
    <w:multiLevelType w:val="hybridMultilevel"/>
    <w:tmpl w:val="F5BE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E1D11"/>
    <w:multiLevelType w:val="hybridMultilevel"/>
    <w:tmpl w:val="8E0604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966FAA"/>
    <w:multiLevelType w:val="hybridMultilevel"/>
    <w:tmpl w:val="0214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250C7"/>
    <w:multiLevelType w:val="hybridMultilevel"/>
    <w:tmpl w:val="666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E4BA6"/>
    <w:multiLevelType w:val="hybridMultilevel"/>
    <w:tmpl w:val="7EB6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C2266"/>
    <w:multiLevelType w:val="hybridMultilevel"/>
    <w:tmpl w:val="D5769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813438"/>
    <w:multiLevelType w:val="hybridMultilevel"/>
    <w:tmpl w:val="27BA4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45309"/>
    <w:multiLevelType w:val="hybridMultilevel"/>
    <w:tmpl w:val="9BA8EA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1649CC"/>
    <w:multiLevelType w:val="hybridMultilevel"/>
    <w:tmpl w:val="A99A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11AFD"/>
    <w:multiLevelType w:val="hybridMultilevel"/>
    <w:tmpl w:val="1D2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B7557"/>
    <w:multiLevelType w:val="hybridMultilevel"/>
    <w:tmpl w:val="6EEE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95CE4"/>
    <w:multiLevelType w:val="hybridMultilevel"/>
    <w:tmpl w:val="3908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33A41"/>
    <w:multiLevelType w:val="hybridMultilevel"/>
    <w:tmpl w:val="7F60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A1DDB"/>
    <w:multiLevelType w:val="hybridMultilevel"/>
    <w:tmpl w:val="A8322842"/>
    <w:lvl w:ilvl="0" w:tplc="BF6C20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6499D"/>
    <w:multiLevelType w:val="hybridMultilevel"/>
    <w:tmpl w:val="54A6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1687F"/>
    <w:multiLevelType w:val="hybridMultilevel"/>
    <w:tmpl w:val="82B27418"/>
    <w:lvl w:ilvl="0" w:tplc="87A0A65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5271393"/>
    <w:multiLevelType w:val="hybridMultilevel"/>
    <w:tmpl w:val="373448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8AA402D"/>
    <w:multiLevelType w:val="hybridMultilevel"/>
    <w:tmpl w:val="A076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B3264"/>
    <w:multiLevelType w:val="hybridMultilevel"/>
    <w:tmpl w:val="3908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F2E88"/>
    <w:multiLevelType w:val="hybridMultilevel"/>
    <w:tmpl w:val="3AEE0A18"/>
    <w:lvl w:ilvl="0" w:tplc="0409000F">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50740"/>
    <w:multiLevelType w:val="hybridMultilevel"/>
    <w:tmpl w:val="B29C9FCC"/>
    <w:lvl w:ilvl="0" w:tplc="B7C2458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6D8A1756"/>
    <w:multiLevelType w:val="hybridMultilevel"/>
    <w:tmpl w:val="E3DC2C20"/>
    <w:lvl w:ilvl="0" w:tplc="04090001">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8D6B63"/>
    <w:multiLevelType w:val="hybridMultilevel"/>
    <w:tmpl w:val="890C10E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17B89"/>
    <w:multiLevelType w:val="hybridMultilevel"/>
    <w:tmpl w:val="EDC8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3B5938"/>
    <w:multiLevelType w:val="hybridMultilevel"/>
    <w:tmpl w:val="06B6E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D33749"/>
    <w:multiLevelType w:val="hybridMultilevel"/>
    <w:tmpl w:val="7EB684F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A2C2CB6"/>
    <w:multiLevelType w:val="hybridMultilevel"/>
    <w:tmpl w:val="6AF8206C"/>
    <w:lvl w:ilvl="0" w:tplc="0409000F">
      <w:start w:val="1"/>
      <w:numFmt w:val="decimal"/>
      <w:pStyle w:val="Numberedlist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2"/>
  </w:num>
  <w:num w:numId="3">
    <w:abstractNumId w:val="3"/>
  </w:num>
  <w:num w:numId="4">
    <w:abstractNumId w:val="39"/>
  </w:num>
  <w:num w:numId="5">
    <w:abstractNumId w:val="36"/>
  </w:num>
  <w:num w:numId="6">
    <w:abstractNumId w:val="9"/>
  </w:num>
  <w:num w:numId="7">
    <w:abstractNumId w:val="35"/>
  </w:num>
  <w:num w:numId="8">
    <w:abstractNumId w:val="33"/>
  </w:num>
  <w:num w:numId="9">
    <w:abstractNumId w:val="13"/>
  </w:num>
  <w:num w:numId="10">
    <w:abstractNumId w:val="38"/>
  </w:num>
  <w:num w:numId="11">
    <w:abstractNumId w:val="17"/>
  </w:num>
  <w:num w:numId="12">
    <w:abstractNumId w:val="6"/>
  </w:num>
  <w:num w:numId="13">
    <w:abstractNumId w:val="7"/>
  </w:num>
  <w:num w:numId="14">
    <w:abstractNumId w:val="30"/>
  </w:num>
  <w:num w:numId="15">
    <w:abstractNumId w:val="15"/>
  </w:num>
  <w:num w:numId="16">
    <w:abstractNumId w:val="23"/>
  </w:num>
  <w:num w:numId="17">
    <w:abstractNumId w:val="16"/>
  </w:num>
  <w:num w:numId="18">
    <w:abstractNumId w:val="12"/>
  </w:num>
  <w:num w:numId="19">
    <w:abstractNumId w:val="24"/>
  </w:num>
  <w:num w:numId="20">
    <w:abstractNumId w:val="28"/>
  </w:num>
  <w:num w:numId="21">
    <w:abstractNumId w:val="27"/>
  </w:num>
  <w:num w:numId="22">
    <w:abstractNumId w:val="8"/>
  </w:num>
  <w:num w:numId="23">
    <w:abstractNumId w:val="2"/>
  </w:num>
  <w:num w:numId="24">
    <w:abstractNumId w:val="21"/>
  </w:num>
  <w:num w:numId="25">
    <w:abstractNumId w:val="25"/>
  </w:num>
  <w:num w:numId="26">
    <w:abstractNumId w:val="22"/>
  </w:num>
  <w:num w:numId="27">
    <w:abstractNumId w:val="0"/>
  </w:num>
  <w:num w:numId="28">
    <w:abstractNumId w:val="4"/>
  </w:num>
  <w:num w:numId="29">
    <w:abstractNumId w:val="34"/>
  </w:num>
  <w:num w:numId="30">
    <w:abstractNumId w:val="19"/>
  </w:num>
  <w:num w:numId="31">
    <w:abstractNumId w:val="11"/>
  </w:num>
  <w:num w:numId="32">
    <w:abstractNumId w:val="31"/>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RTgX59KiKYG0bakQqO2VN4SUqDmaESuGfclTnCCASW9uV36XoIUa0UMLaOkZkzXUQw2gpBlX9/quOOSJMUPow==" w:salt="v/SnxZ2YGBG/1RE4lGYnUQ=="/>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2B"/>
    <w:rsid w:val="00004EC3"/>
    <w:rsid w:val="00010B46"/>
    <w:rsid w:val="00012293"/>
    <w:rsid w:val="00012CE8"/>
    <w:rsid w:val="000136E5"/>
    <w:rsid w:val="00015001"/>
    <w:rsid w:val="00015A75"/>
    <w:rsid w:val="00025489"/>
    <w:rsid w:val="00025B33"/>
    <w:rsid w:val="00035C82"/>
    <w:rsid w:val="000411FD"/>
    <w:rsid w:val="00041FA3"/>
    <w:rsid w:val="00046FD3"/>
    <w:rsid w:val="000525CA"/>
    <w:rsid w:val="000567F2"/>
    <w:rsid w:val="00056B9E"/>
    <w:rsid w:val="00063922"/>
    <w:rsid w:val="00065955"/>
    <w:rsid w:val="000677A9"/>
    <w:rsid w:val="000702F6"/>
    <w:rsid w:val="00072119"/>
    <w:rsid w:val="000740D3"/>
    <w:rsid w:val="000741E8"/>
    <w:rsid w:val="00080A42"/>
    <w:rsid w:val="000814DA"/>
    <w:rsid w:val="000863CB"/>
    <w:rsid w:val="000873A8"/>
    <w:rsid w:val="00095F75"/>
    <w:rsid w:val="000966A7"/>
    <w:rsid w:val="000A6E39"/>
    <w:rsid w:val="000B00A8"/>
    <w:rsid w:val="000B1F59"/>
    <w:rsid w:val="000C292F"/>
    <w:rsid w:val="000C2FC9"/>
    <w:rsid w:val="000C3F31"/>
    <w:rsid w:val="000C421E"/>
    <w:rsid w:val="000C53AC"/>
    <w:rsid w:val="000D298E"/>
    <w:rsid w:val="000D6F65"/>
    <w:rsid w:val="000E2478"/>
    <w:rsid w:val="000E570E"/>
    <w:rsid w:val="000F2A65"/>
    <w:rsid w:val="000F60AC"/>
    <w:rsid w:val="000F79DF"/>
    <w:rsid w:val="001045B4"/>
    <w:rsid w:val="00105E58"/>
    <w:rsid w:val="00112695"/>
    <w:rsid w:val="0011363A"/>
    <w:rsid w:val="001164A4"/>
    <w:rsid w:val="00117950"/>
    <w:rsid w:val="00122AF3"/>
    <w:rsid w:val="001261DB"/>
    <w:rsid w:val="00130BE8"/>
    <w:rsid w:val="00130FF8"/>
    <w:rsid w:val="00132C56"/>
    <w:rsid w:val="00133141"/>
    <w:rsid w:val="00143934"/>
    <w:rsid w:val="00145126"/>
    <w:rsid w:val="00145B62"/>
    <w:rsid w:val="0015465C"/>
    <w:rsid w:val="00163B09"/>
    <w:rsid w:val="001672A1"/>
    <w:rsid w:val="00167829"/>
    <w:rsid w:val="00170492"/>
    <w:rsid w:val="00171832"/>
    <w:rsid w:val="0017483E"/>
    <w:rsid w:val="001755C2"/>
    <w:rsid w:val="00180463"/>
    <w:rsid w:val="0018188D"/>
    <w:rsid w:val="001869F4"/>
    <w:rsid w:val="0019175D"/>
    <w:rsid w:val="0019375E"/>
    <w:rsid w:val="00196754"/>
    <w:rsid w:val="001A27A6"/>
    <w:rsid w:val="001A34EB"/>
    <w:rsid w:val="001A46B2"/>
    <w:rsid w:val="001B4FCC"/>
    <w:rsid w:val="001B5DCB"/>
    <w:rsid w:val="001B7C42"/>
    <w:rsid w:val="001C1842"/>
    <w:rsid w:val="001D2469"/>
    <w:rsid w:val="001D380F"/>
    <w:rsid w:val="001D3CC4"/>
    <w:rsid w:val="001D4FC5"/>
    <w:rsid w:val="001D6F0B"/>
    <w:rsid w:val="001D7884"/>
    <w:rsid w:val="001E0C5F"/>
    <w:rsid w:val="001E18B3"/>
    <w:rsid w:val="001E316C"/>
    <w:rsid w:val="001F3898"/>
    <w:rsid w:val="0021113E"/>
    <w:rsid w:val="002169C8"/>
    <w:rsid w:val="002263C4"/>
    <w:rsid w:val="00231A7B"/>
    <w:rsid w:val="00231F49"/>
    <w:rsid w:val="00235E17"/>
    <w:rsid w:val="00242745"/>
    <w:rsid w:val="00252BAE"/>
    <w:rsid w:val="0025469D"/>
    <w:rsid w:val="002559DD"/>
    <w:rsid w:val="002605CE"/>
    <w:rsid w:val="002676BD"/>
    <w:rsid w:val="00272EB3"/>
    <w:rsid w:val="0028085B"/>
    <w:rsid w:val="00280C60"/>
    <w:rsid w:val="002858B9"/>
    <w:rsid w:val="00286C9F"/>
    <w:rsid w:val="00290196"/>
    <w:rsid w:val="002931DA"/>
    <w:rsid w:val="002A3E74"/>
    <w:rsid w:val="002B026B"/>
    <w:rsid w:val="002B18BD"/>
    <w:rsid w:val="002B18DB"/>
    <w:rsid w:val="002B7902"/>
    <w:rsid w:val="002C00B6"/>
    <w:rsid w:val="002C7A5F"/>
    <w:rsid w:val="002D3A92"/>
    <w:rsid w:val="002D47C4"/>
    <w:rsid w:val="002F3EE9"/>
    <w:rsid w:val="002F498F"/>
    <w:rsid w:val="002F66B9"/>
    <w:rsid w:val="002F69FC"/>
    <w:rsid w:val="00302384"/>
    <w:rsid w:val="003073A1"/>
    <w:rsid w:val="0031788F"/>
    <w:rsid w:val="00320A2D"/>
    <w:rsid w:val="00332D63"/>
    <w:rsid w:val="0033306B"/>
    <w:rsid w:val="00333C2D"/>
    <w:rsid w:val="00342566"/>
    <w:rsid w:val="003446E0"/>
    <w:rsid w:val="00351100"/>
    <w:rsid w:val="00357A4A"/>
    <w:rsid w:val="00373D5A"/>
    <w:rsid w:val="00375686"/>
    <w:rsid w:val="00376852"/>
    <w:rsid w:val="00384DB0"/>
    <w:rsid w:val="00391677"/>
    <w:rsid w:val="0039267E"/>
    <w:rsid w:val="003B2263"/>
    <w:rsid w:val="003B3E91"/>
    <w:rsid w:val="003B6443"/>
    <w:rsid w:val="003C0156"/>
    <w:rsid w:val="003C3C96"/>
    <w:rsid w:val="003D0B37"/>
    <w:rsid w:val="003D68CA"/>
    <w:rsid w:val="003E4213"/>
    <w:rsid w:val="003E6814"/>
    <w:rsid w:val="003F1A94"/>
    <w:rsid w:val="003F4470"/>
    <w:rsid w:val="003F4F88"/>
    <w:rsid w:val="003F79A2"/>
    <w:rsid w:val="004167AF"/>
    <w:rsid w:val="00417DFE"/>
    <w:rsid w:val="004204C6"/>
    <w:rsid w:val="004305BA"/>
    <w:rsid w:val="0043117B"/>
    <w:rsid w:val="0043350F"/>
    <w:rsid w:val="00440326"/>
    <w:rsid w:val="00442272"/>
    <w:rsid w:val="00442BCA"/>
    <w:rsid w:val="00443701"/>
    <w:rsid w:val="00443D9C"/>
    <w:rsid w:val="00447B45"/>
    <w:rsid w:val="00447BD3"/>
    <w:rsid w:val="00456A80"/>
    <w:rsid w:val="00456E9A"/>
    <w:rsid w:val="00457314"/>
    <w:rsid w:val="004644C3"/>
    <w:rsid w:val="00471256"/>
    <w:rsid w:val="00474879"/>
    <w:rsid w:val="00480674"/>
    <w:rsid w:val="00481C92"/>
    <w:rsid w:val="00485E2B"/>
    <w:rsid w:val="00494ECB"/>
    <w:rsid w:val="00496C3D"/>
    <w:rsid w:val="004A15EE"/>
    <w:rsid w:val="004A6ED8"/>
    <w:rsid w:val="004B38A7"/>
    <w:rsid w:val="004B55DD"/>
    <w:rsid w:val="004B75C0"/>
    <w:rsid w:val="004B7AAB"/>
    <w:rsid w:val="004C0021"/>
    <w:rsid w:val="004C7784"/>
    <w:rsid w:val="004C7EBE"/>
    <w:rsid w:val="004D0A0A"/>
    <w:rsid w:val="004D0CB2"/>
    <w:rsid w:val="004D39C2"/>
    <w:rsid w:val="004D3BB7"/>
    <w:rsid w:val="004D41D5"/>
    <w:rsid w:val="004E1949"/>
    <w:rsid w:val="004E1D15"/>
    <w:rsid w:val="004E588C"/>
    <w:rsid w:val="004F30C6"/>
    <w:rsid w:val="004F5B16"/>
    <w:rsid w:val="00507248"/>
    <w:rsid w:val="00514E5A"/>
    <w:rsid w:val="005249B4"/>
    <w:rsid w:val="00526E80"/>
    <w:rsid w:val="00537D7B"/>
    <w:rsid w:val="005436C3"/>
    <w:rsid w:val="005525C2"/>
    <w:rsid w:val="005553A6"/>
    <w:rsid w:val="00555512"/>
    <w:rsid w:val="00557EE2"/>
    <w:rsid w:val="00564991"/>
    <w:rsid w:val="00566158"/>
    <w:rsid w:val="00573AB7"/>
    <w:rsid w:val="005749F4"/>
    <w:rsid w:val="00575942"/>
    <w:rsid w:val="00576538"/>
    <w:rsid w:val="00581E8A"/>
    <w:rsid w:val="00583104"/>
    <w:rsid w:val="00583F6B"/>
    <w:rsid w:val="00584472"/>
    <w:rsid w:val="00590A80"/>
    <w:rsid w:val="005911A4"/>
    <w:rsid w:val="00591697"/>
    <w:rsid w:val="00591F85"/>
    <w:rsid w:val="005951C6"/>
    <w:rsid w:val="00596B06"/>
    <w:rsid w:val="00597D20"/>
    <w:rsid w:val="005A5949"/>
    <w:rsid w:val="005B28F9"/>
    <w:rsid w:val="005B31F4"/>
    <w:rsid w:val="005B39DE"/>
    <w:rsid w:val="005C45BC"/>
    <w:rsid w:val="005C78E9"/>
    <w:rsid w:val="005D42F7"/>
    <w:rsid w:val="005E0406"/>
    <w:rsid w:val="005E0643"/>
    <w:rsid w:val="005E20D0"/>
    <w:rsid w:val="005F254B"/>
    <w:rsid w:val="00603DCB"/>
    <w:rsid w:val="00610145"/>
    <w:rsid w:val="006108F4"/>
    <w:rsid w:val="006116E7"/>
    <w:rsid w:val="00641861"/>
    <w:rsid w:val="0064219E"/>
    <w:rsid w:val="00651F6A"/>
    <w:rsid w:val="00654EDA"/>
    <w:rsid w:val="00656A32"/>
    <w:rsid w:val="006570CD"/>
    <w:rsid w:val="00663A72"/>
    <w:rsid w:val="00667E68"/>
    <w:rsid w:val="0067216C"/>
    <w:rsid w:val="00673431"/>
    <w:rsid w:val="00673719"/>
    <w:rsid w:val="006740FD"/>
    <w:rsid w:val="006854F2"/>
    <w:rsid w:val="00687B34"/>
    <w:rsid w:val="00695D69"/>
    <w:rsid w:val="006A1CEA"/>
    <w:rsid w:val="006A3DBF"/>
    <w:rsid w:val="006B14C9"/>
    <w:rsid w:val="006B6985"/>
    <w:rsid w:val="006E2996"/>
    <w:rsid w:val="006E352E"/>
    <w:rsid w:val="006E7380"/>
    <w:rsid w:val="006F28FC"/>
    <w:rsid w:val="006F456E"/>
    <w:rsid w:val="006F5BAE"/>
    <w:rsid w:val="006F6101"/>
    <w:rsid w:val="00700D1B"/>
    <w:rsid w:val="00715EB1"/>
    <w:rsid w:val="00716C04"/>
    <w:rsid w:val="0071730D"/>
    <w:rsid w:val="00726BCA"/>
    <w:rsid w:val="0073590F"/>
    <w:rsid w:val="00736830"/>
    <w:rsid w:val="007407A5"/>
    <w:rsid w:val="00741E11"/>
    <w:rsid w:val="007436BB"/>
    <w:rsid w:val="00745DAC"/>
    <w:rsid w:val="00747D45"/>
    <w:rsid w:val="00753209"/>
    <w:rsid w:val="0075359E"/>
    <w:rsid w:val="00753EEE"/>
    <w:rsid w:val="00754BEE"/>
    <w:rsid w:val="00756714"/>
    <w:rsid w:val="00760773"/>
    <w:rsid w:val="00761252"/>
    <w:rsid w:val="00761DB5"/>
    <w:rsid w:val="007643D1"/>
    <w:rsid w:val="00773F62"/>
    <w:rsid w:val="00774C73"/>
    <w:rsid w:val="007777F8"/>
    <w:rsid w:val="0078044B"/>
    <w:rsid w:val="00783ADF"/>
    <w:rsid w:val="00793522"/>
    <w:rsid w:val="00793B91"/>
    <w:rsid w:val="007951B7"/>
    <w:rsid w:val="00795996"/>
    <w:rsid w:val="00797A0F"/>
    <w:rsid w:val="007A4DD4"/>
    <w:rsid w:val="007A71F3"/>
    <w:rsid w:val="007B1AC3"/>
    <w:rsid w:val="007B4FE7"/>
    <w:rsid w:val="007C36AD"/>
    <w:rsid w:val="007C43A6"/>
    <w:rsid w:val="007D0978"/>
    <w:rsid w:val="007D2794"/>
    <w:rsid w:val="007D4677"/>
    <w:rsid w:val="007E0026"/>
    <w:rsid w:val="007E47A8"/>
    <w:rsid w:val="007F10CC"/>
    <w:rsid w:val="007F45A6"/>
    <w:rsid w:val="007F525B"/>
    <w:rsid w:val="00800BF9"/>
    <w:rsid w:val="00803C95"/>
    <w:rsid w:val="008113A5"/>
    <w:rsid w:val="00812F58"/>
    <w:rsid w:val="00816670"/>
    <w:rsid w:val="00820316"/>
    <w:rsid w:val="008507AC"/>
    <w:rsid w:val="00857E9F"/>
    <w:rsid w:val="00866374"/>
    <w:rsid w:val="008674B9"/>
    <w:rsid w:val="00867737"/>
    <w:rsid w:val="00872DB5"/>
    <w:rsid w:val="00872F0E"/>
    <w:rsid w:val="00872F2A"/>
    <w:rsid w:val="00887776"/>
    <w:rsid w:val="00890233"/>
    <w:rsid w:val="0089334C"/>
    <w:rsid w:val="0089380D"/>
    <w:rsid w:val="008949FE"/>
    <w:rsid w:val="00894D1E"/>
    <w:rsid w:val="008A20B2"/>
    <w:rsid w:val="008A526D"/>
    <w:rsid w:val="008A5663"/>
    <w:rsid w:val="008C0DEA"/>
    <w:rsid w:val="008C2E69"/>
    <w:rsid w:val="008C734A"/>
    <w:rsid w:val="008D0618"/>
    <w:rsid w:val="008D228F"/>
    <w:rsid w:val="008D394C"/>
    <w:rsid w:val="008D6C30"/>
    <w:rsid w:val="008E2D42"/>
    <w:rsid w:val="008F763E"/>
    <w:rsid w:val="00906806"/>
    <w:rsid w:val="009102D2"/>
    <w:rsid w:val="009118DD"/>
    <w:rsid w:val="009138F9"/>
    <w:rsid w:val="00913D5C"/>
    <w:rsid w:val="009155DB"/>
    <w:rsid w:val="009211F1"/>
    <w:rsid w:val="009316F7"/>
    <w:rsid w:val="00941916"/>
    <w:rsid w:val="0094617A"/>
    <w:rsid w:val="009478A5"/>
    <w:rsid w:val="00950334"/>
    <w:rsid w:val="00950C90"/>
    <w:rsid w:val="00954C86"/>
    <w:rsid w:val="00955C53"/>
    <w:rsid w:val="00966A20"/>
    <w:rsid w:val="009726D7"/>
    <w:rsid w:val="0097409A"/>
    <w:rsid w:val="00986460"/>
    <w:rsid w:val="0099069C"/>
    <w:rsid w:val="009923C8"/>
    <w:rsid w:val="00993BDC"/>
    <w:rsid w:val="009A21FA"/>
    <w:rsid w:val="009A2312"/>
    <w:rsid w:val="009A4919"/>
    <w:rsid w:val="009A7642"/>
    <w:rsid w:val="009A7BFC"/>
    <w:rsid w:val="009B0636"/>
    <w:rsid w:val="009B72EC"/>
    <w:rsid w:val="009C3554"/>
    <w:rsid w:val="009C5184"/>
    <w:rsid w:val="009E12F1"/>
    <w:rsid w:val="009E4CD7"/>
    <w:rsid w:val="009F216E"/>
    <w:rsid w:val="009F3E27"/>
    <w:rsid w:val="009F4A06"/>
    <w:rsid w:val="009F5B0F"/>
    <w:rsid w:val="00A01672"/>
    <w:rsid w:val="00A061DE"/>
    <w:rsid w:val="00A0697C"/>
    <w:rsid w:val="00A113DA"/>
    <w:rsid w:val="00A156E6"/>
    <w:rsid w:val="00A16C50"/>
    <w:rsid w:val="00A30A4E"/>
    <w:rsid w:val="00A35C43"/>
    <w:rsid w:val="00A36175"/>
    <w:rsid w:val="00A47947"/>
    <w:rsid w:val="00A47F71"/>
    <w:rsid w:val="00A53815"/>
    <w:rsid w:val="00A54D7F"/>
    <w:rsid w:val="00A55C52"/>
    <w:rsid w:val="00A71300"/>
    <w:rsid w:val="00A751C3"/>
    <w:rsid w:val="00A80846"/>
    <w:rsid w:val="00A83798"/>
    <w:rsid w:val="00A84D05"/>
    <w:rsid w:val="00A91CCE"/>
    <w:rsid w:val="00A946B3"/>
    <w:rsid w:val="00AA5B5C"/>
    <w:rsid w:val="00AB2A53"/>
    <w:rsid w:val="00AB420A"/>
    <w:rsid w:val="00AC2DA9"/>
    <w:rsid w:val="00AC3022"/>
    <w:rsid w:val="00AD5CEF"/>
    <w:rsid w:val="00AD6A50"/>
    <w:rsid w:val="00AE3AED"/>
    <w:rsid w:val="00AE3E40"/>
    <w:rsid w:val="00AF40C6"/>
    <w:rsid w:val="00B10570"/>
    <w:rsid w:val="00B11138"/>
    <w:rsid w:val="00B124B3"/>
    <w:rsid w:val="00B1699A"/>
    <w:rsid w:val="00B21BB6"/>
    <w:rsid w:val="00B31774"/>
    <w:rsid w:val="00B31CBF"/>
    <w:rsid w:val="00B340FD"/>
    <w:rsid w:val="00B347E3"/>
    <w:rsid w:val="00B35DC5"/>
    <w:rsid w:val="00B40CA7"/>
    <w:rsid w:val="00B4300B"/>
    <w:rsid w:val="00B45079"/>
    <w:rsid w:val="00B45CC0"/>
    <w:rsid w:val="00B472B5"/>
    <w:rsid w:val="00B53235"/>
    <w:rsid w:val="00B56C40"/>
    <w:rsid w:val="00B57AEC"/>
    <w:rsid w:val="00B609BD"/>
    <w:rsid w:val="00B64448"/>
    <w:rsid w:val="00B666A5"/>
    <w:rsid w:val="00B6688B"/>
    <w:rsid w:val="00B67A05"/>
    <w:rsid w:val="00B67CD0"/>
    <w:rsid w:val="00B81B44"/>
    <w:rsid w:val="00B933C4"/>
    <w:rsid w:val="00B952A7"/>
    <w:rsid w:val="00B96888"/>
    <w:rsid w:val="00B97F76"/>
    <w:rsid w:val="00BA1BD1"/>
    <w:rsid w:val="00BA5E98"/>
    <w:rsid w:val="00BA7087"/>
    <w:rsid w:val="00BB22B7"/>
    <w:rsid w:val="00BB3B9A"/>
    <w:rsid w:val="00BB5987"/>
    <w:rsid w:val="00BB7657"/>
    <w:rsid w:val="00BC60F0"/>
    <w:rsid w:val="00BC6E06"/>
    <w:rsid w:val="00BC7937"/>
    <w:rsid w:val="00BD20DA"/>
    <w:rsid w:val="00BD2456"/>
    <w:rsid w:val="00BD4557"/>
    <w:rsid w:val="00BD583B"/>
    <w:rsid w:val="00BD7BC5"/>
    <w:rsid w:val="00BE56C1"/>
    <w:rsid w:val="00BE61D4"/>
    <w:rsid w:val="00BF0DC0"/>
    <w:rsid w:val="00BF5054"/>
    <w:rsid w:val="00C024E4"/>
    <w:rsid w:val="00C03935"/>
    <w:rsid w:val="00C10BE5"/>
    <w:rsid w:val="00C161C5"/>
    <w:rsid w:val="00C205B4"/>
    <w:rsid w:val="00C373EA"/>
    <w:rsid w:val="00C420AC"/>
    <w:rsid w:val="00C476DC"/>
    <w:rsid w:val="00C533F4"/>
    <w:rsid w:val="00C53AAD"/>
    <w:rsid w:val="00C55723"/>
    <w:rsid w:val="00C66F71"/>
    <w:rsid w:val="00C675EC"/>
    <w:rsid w:val="00C702D6"/>
    <w:rsid w:val="00C72492"/>
    <w:rsid w:val="00C87A15"/>
    <w:rsid w:val="00C90975"/>
    <w:rsid w:val="00C91609"/>
    <w:rsid w:val="00C92FE4"/>
    <w:rsid w:val="00CA1202"/>
    <w:rsid w:val="00CA43AA"/>
    <w:rsid w:val="00CA5CAA"/>
    <w:rsid w:val="00CB5511"/>
    <w:rsid w:val="00CC4800"/>
    <w:rsid w:val="00CC57F3"/>
    <w:rsid w:val="00CC5C64"/>
    <w:rsid w:val="00CD0C66"/>
    <w:rsid w:val="00CD1B70"/>
    <w:rsid w:val="00CD7D85"/>
    <w:rsid w:val="00CE027A"/>
    <w:rsid w:val="00CE246C"/>
    <w:rsid w:val="00CF1A8A"/>
    <w:rsid w:val="00CF5458"/>
    <w:rsid w:val="00CF68EC"/>
    <w:rsid w:val="00CF72BB"/>
    <w:rsid w:val="00D02D11"/>
    <w:rsid w:val="00D04107"/>
    <w:rsid w:val="00D13D96"/>
    <w:rsid w:val="00D30EE0"/>
    <w:rsid w:val="00D31166"/>
    <w:rsid w:val="00D36709"/>
    <w:rsid w:val="00D36BEC"/>
    <w:rsid w:val="00D415D1"/>
    <w:rsid w:val="00D46325"/>
    <w:rsid w:val="00D47918"/>
    <w:rsid w:val="00D5218B"/>
    <w:rsid w:val="00D52425"/>
    <w:rsid w:val="00D53C92"/>
    <w:rsid w:val="00D562AE"/>
    <w:rsid w:val="00D605D9"/>
    <w:rsid w:val="00D71DF6"/>
    <w:rsid w:val="00D7566B"/>
    <w:rsid w:val="00D84B0B"/>
    <w:rsid w:val="00D86C81"/>
    <w:rsid w:val="00D91C7A"/>
    <w:rsid w:val="00DA71FC"/>
    <w:rsid w:val="00DC0E3A"/>
    <w:rsid w:val="00DC255E"/>
    <w:rsid w:val="00DC57C1"/>
    <w:rsid w:val="00DC673F"/>
    <w:rsid w:val="00DD6683"/>
    <w:rsid w:val="00DF149D"/>
    <w:rsid w:val="00DF22F0"/>
    <w:rsid w:val="00DF4828"/>
    <w:rsid w:val="00DF6025"/>
    <w:rsid w:val="00E06B14"/>
    <w:rsid w:val="00E06D94"/>
    <w:rsid w:val="00E12B07"/>
    <w:rsid w:val="00E1406B"/>
    <w:rsid w:val="00E20561"/>
    <w:rsid w:val="00E2758B"/>
    <w:rsid w:val="00E3668A"/>
    <w:rsid w:val="00E412A0"/>
    <w:rsid w:val="00E4411A"/>
    <w:rsid w:val="00E52E97"/>
    <w:rsid w:val="00E60222"/>
    <w:rsid w:val="00E63070"/>
    <w:rsid w:val="00E70466"/>
    <w:rsid w:val="00E735A9"/>
    <w:rsid w:val="00E810C2"/>
    <w:rsid w:val="00E917C7"/>
    <w:rsid w:val="00E92C1A"/>
    <w:rsid w:val="00E93634"/>
    <w:rsid w:val="00E94208"/>
    <w:rsid w:val="00EA49B5"/>
    <w:rsid w:val="00EB2918"/>
    <w:rsid w:val="00EB314F"/>
    <w:rsid w:val="00EB3DB8"/>
    <w:rsid w:val="00EB4DF1"/>
    <w:rsid w:val="00EB7391"/>
    <w:rsid w:val="00EB7B9E"/>
    <w:rsid w:val="00EC255E"/>
    <w:rsid w:val="00EC5C03"/>
    <w:rsid w:val="00ED6439"/>
    <w:rsid w:val="00ED6A94"/>
    <w:rsid w:val="00EE08ED"/>
    <w:rsid w:val="00EE15F0"/>
    <w:rsid w:val="00EF38CA"/>
    <w:rsid w:val="00EF580C"/>
    <w:rsid w:val="00F02B75"/>
    <w:rsid w:val="00F058B2"/>
    <w:rsid w:val="00F15146"/>
    <w:rsid w:val="00F2068F"/>
    <w:rsid w:val="00F400BB"/>
    <w:rsid w:val="00F409E7"/>
    <w:rsid w:val="00F42CD9"/>
    <w:rsid w:val="00F4303F"/>
    <w:rsid w:val="00F521A3"/>
    <w:rsid w:val="00F616AA"/>
    <w:rsid w:val="00F62695"/>
    <w:rsid w:val="00F64801"/>
    <w:rsid w:val="00F80177"/>
    <w:rsid w:val="00F848F4"/>
    <w:rsid w:val="00F85A64"/>
    <w:rsid w:val="00F94F18"/>
    <w:rsid w:val="00F95B29"/>
    <w:rsid w:val="00FA0F5E"/>
    <w:rsid w:val="00FA31D5"/>
    <w:rsid w:val="00FA36D1"/>
    <w:rsid w:val="00FA48AB"/>
    <w:rsid w:val="00FA6EBF"/>
    <w:rsid w:val="00FC7796"/>
    <w:rsid w:val="00FD0574"/>
    <w:rsid w:val="00FD473D"/>
    <w:rsid w:val="00FE2498"/>
    <w:rsid w:val="00FE545D"/>
    <w:rsid w:val="00FF4659"/>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EE9F90A-6B96-465C-80A7-8456EF6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unning Text"/>
    <w:qFormat/>
    <w:rsid w:val="00041FA3"/>
    <w:pPr>
      <w:spacing w:after="120"/>
    </w:pPr>
    <w:rPr>
      <w:rFonts w:ascii="Arial" w:hAnsi="Arial" w:cs="Arial"/>
      <w:sz w:val="22"/>
      <w:szCs w:val="22"/>
    </w:rPr>
  </w:style>
  <w:style w:type="paragraph" w:styleId="Heading1">
    <w:name w:val="heading 1"/>
    <w:basedOn w:val="Normal"/>
    <w:next w:val="Normal"/>
    <w:link w:val="Heading1Char"/>
    <w:autoRedefine/>
    <w:uiPriority w:val="9"/>
    <w:qFormat/>
    <w:rsid w:val="00695D69"/>
    <w:pPr>
      <w:keepNext/>
      <w:outlineLvl w:val="0"/>
    </w:pPr>
    <w:rPr>
      <w:b/>
      <w:sz w:val="28"/>
      <w:szCs w:val="28"/>
    </w:rPr>
  </w:style>
  <w:style w:type="paragraph" w:styleId="Heading2">
    <w:name w:val="heading 2"/>
    <w:basedOn w:val="Normal"/>
    <w:next w:val="Normal"/>
    <w:link w:val="Heading2Char"/>
    <w:uiPriority w:val="9"/>
    <w:unhideWhenUsed/>
    <w:qFormat/>
    <w:rsid w:val="00726BCA"/>
    <w:pPr>
      <w:keepNext/>
      <w:keepLines/>
      <w:spacing w:before="240"/>
      <w:outlineLvl w:val="1"/>
    </w:pPr>
    <w:rPr>
      <w:rFonts w:eastAsia="Times New Roman"/>
      <w:b/>
      <w:bCs/>
      <w:sz w:val="24"/>
      <w:szCs w:val="24"/>
    </w:rPr>
  </w:style>
  <w:style w:type="paragraph" w:styleId="Heading3">
    <w:name w:val="heading 3"/>
    <w:basedOn w:val="Normal"/>
    <w:next w:val="Normal"/>
    <w:link w:val="Heading3Char"/>
    <w:uiPriority w:val="9"/>
    <w:unhideWhenUsed/>
    <w:qFormat/>
    <w:rsid w:val="00726BCA"/>
    <w:pPr>
      <w:spacing w:before="240"/>
      <w:outlineLvl w:val="2"/>
    </w:pPr>
    <w:rPr>
      <w:b/>
    </w:rPr>
  </w:style>
  <w:style w:type="paragraph" w:styleId="Heading4">
    <w:name w:val="heading 4"/>
    <w:basedOn w:val="Normal"/>
    <w:next w:val="Normal"/>
    <w:link w:val="Heading4Char"/>
    <w:uiPriority w:val="9"/>
    <w:unhideWhenUsed/>
    <w:qFormat/>
    <w:rsid w:val="00726BCA"/>
    <w:pPr>
      <w:keepNext/>
      <w:keepLines/>
      <w:spacing w:before="240" w:after="0"/>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DD6683"/>
    <w:pPr>
      <w:keepNext/>
      <w:keepLines/>
      <w:spacing w:before="200" w:after="0"/>
      <w:outlineLvl w:val="4"/>
    </w:pPr>
    <w:rPr>
      <w:rFonts w:ascii="Lucida Bright" w:eastAsia="Times New Roman" w:hAnsi="Lucida Bright"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5D69"/>
    <w:rPr>
      <w:rFonts w:ascii="Arial" w:hAnsi="Arial" w:cs="Arial"/>
      <w:b/>
      <w:sz w:val="28"/>
      <w:szCs w:val="28"/>
    </w:rPr>
  </w:style>
  <w:style w:type="character" w:customStyle="1" w:styleId="Heading2Char">
    <w:name w:val="Heading 2 Char"/>
    <w:link w:val="Heading2"/>
    <w:uiPriority w:val="9"/>
    <w:rsid w:val="00726BCA"/>
    <w:rPr>
      <w:rFonts w:ascii="Arial" w:eastAsia="Times New Roman" w:hAnsi="Arial" w:cs="Arial"/>
      <w:b/>
      <w:bCs/>
      <w:sz w:val="24"/>
      <w:szCs w:val="24"/>
    </w:rPr>
  </w:style>
  <w:style w:type="character" w:customStyle="1" w:styleId="Heading3Char">
    <w:name w:val="Heading 3 Char"/>
    <w:link w:val="Heading3"/>
    <w:uiPriority w:val="9"/>
    <w:rsid w:val="00726BCA"/>
    <w:rPr>
      <w:rFonts w:ascii="Arial" w:hAnsi="Arial" w:cs="Arial"/>
      <w:b/>
      <w:sz w:val="22"/>
      <w:szCs w:val="22"/>
    </w:rPr>
  </w:style>
  <w:style w:type="character" w:customStyle="1" w:styleId="Heading4Char">
    <w:name w:val="Heading 4 Char"/>
    <w:link w:val="Heading4"/>
    <w:uiPriority w:val="9"/>
    <w:rsid w:val="00726BCA"/>
    <w:rPr>
      <w:rFonts w:ascii="Arial" w:eastAsia="Times New Roman" w:hAnsi="Arial" w:cs="Arial"/>
      <w:b/>
      <w:bCs/>
      <w:iCs/>
    </w:rPr>
  </w:style>
  <w:style w:type="character" w:customStyle="1" w:styleId="Heading5Char">
    <w:name w:val="Heading 5 Char"/>
    <w:link w:val="Heading5"/>
    <w:uiPriority w:val="9"/>
    <w:rsid w:val="00DD6683"/>
    <w:rPr>
      <w:rFonts w:ascii="Lucida Bright" w:eastAsia="Times New Roman" w:hAnsi="Lucida Bright" w:cs="Times New Roman"/>
      <w:b/>
      <w:sz w:val="24"/>
      <w:szCs w:val="24"/>
    </w:rPr>
  </w:style>
  <w:style w:type="paragraph" w:customStyle="1" w:styleId="NumberedCell">
    <w:name w:val="Numbered Cell"/>
    <w:basedOn w:val="Normal"/>
    <w:qFormat/>
    <w:rsid w:val="006B6985"/>
    <w:pPr>
      <w:jc w:val="center"/>
    </w:pPr>
    <w:rPr>
      <w:sz w:val="16"/>
      <w:szCs w:val="16"/>
    </w:rPr>
  </w:style>
  <w:style w:type="paragraph" w:customStyle="1" w:styleId="TableHead">
    <w:name w:val="Table Head"/>
    <w:basedOn w:val="Normal"/>
    <w:qFormat/>
    <w:rsid w:val="00EF580C"/>
    <w:pPr>
      <w:spacing w:before="60" w:after="60"/>
      <w:jc w:val="center"/>
    </w:pPr>
    <w:rPr>
      <w:b/>
    </w:rPr>
  </w:style>
  <w:style w:type="paragraph" w:customStyle="1" w:styleId="TableBullet">
    <w:name w:val="Table Bullet"/>
    <w:basedOn w:val="Normal"/>
    <w:qFormat/>
    <w:rsid w:val="00171832"/>
    <w:pPr>
      <w:numPr>
        <w:numId w:val="1"/>
      </w:numPr>
      <w:spacing w:before="60" w:after="60"/>
    </w:pPr>
  </w:style>
  <w:style w:type="paragraph" w:customStyle="1" w:styleId="Standard">
    <w:name w:val="Standard"/>
    <w:basedOn w:val="Normal"/>
    <w:rsid w:val="004E588C"/>
    <w:pPr>
      <w:spacing w:after="0"/>
    </w:pPr>
    <w:rPr>
      <w:rFonts w:eastAsia="Times New Roman" w:cs="Times New Roman"/>
      <w:szCs w:val="20"/>
    </w:rPr>
  </w:style>
  <w:style w:type="paragraph" w:customStyle="1" w:styleId="Heading1A">
    <w:name w:val="Heading 1A"/>
    <w:basedOn w:val="Normal"/>
    <w:link w:val="Heading1AChar"/>
    <w:rsid w:val="004E588C"/>
    <w:pPr>
      <w:spacing w:after="0"/>
    </w:pPr>
    <w:rPr>
      <w:rFonts w:ascii="Lucida Bright" w:eastAsia="Times New Roman" w:hAnsi="Lucida Bright" w:cs="Times New Roman"/>
      <w:b/>
      <w:sz w:val="24"/>
      <w:szCs w:val="20"/>
    </w:rPr>
  </w:style>
  <w:style w:type="character" w:customStyle="1" w:styleId="Heading1AChar">
    <w:name w:val="Heading 1A Char"/>
    <w:link w:val="Heading1A"/>
    <w:rsid w:val="004E588C"/>
    <w:rPr>
      <w:rFonts w:ascii="Lucida Bright" w:eastAsia="Times New Roman" w:hAnsi="Lucida Bright" w:cs="Times New Roman"/>
      <w:b/>
      <w:sz w:val="24"/>
      <w:szCs w:val="20"/>
    </w:rPr>
  </w:style>
  <w:style w:type="character" w:styleId="Hyperlink">
    <w:name w:val="Hyperlink"/>
    <w:uiPriority w:val="99"/>
    <w:rsid w:val="00E06D94"/>
    <w:rPr>
      <w:color w:val="0000FF"/>
      <w:u w:val="single"/>
    </w:rPr>
  </w:style>
  <w:style w:type="paragraph" w:styleId="NormalWeb">
    <w:name w:val="Normal (Web)"/>
    <w:basedOn w:val="Normal"/>
    <w:uiPriority w:val="99"/>
    <w:rsid w:val="00E06D94"/>
    <w:pPr>
      <w:spacing w:before="100" w:beforeAutospacing="1" w:after="100" w:afterAutospacing="1"/>
    </w:pPr>
    <w:rPr>
      <w:rFonts w:ascii="Verdana" w:eastAsia="Times New Roman" w:hAnsi="Verdana" w:cs="Times New Roman"/>
      <w:sz w:val="24"/>
      <w:szCs w:val="24"/>
    </w:rPr>
  </w:style>
  <w:style w:type="character" w:customStyle="1" w:styleId="divopgeannounce">
    <w:name w:val="divopgeannounce"/>
    <w:basedOn w:val="DefaultParagraphFont"/>
    <w:rsid w:val="00E06D94"/>
  </w:style>
  <w:style w:type="character" w:customStyle="1" w:styleId="EmailStyle281">
    <w:name w:val="EmailStyle281"/>
    <w:semiHidden/>
    <w:rsid w:val="00E06D94"/>
    <w:rPr>
      <w:rFonts w:ascii="Arial" w:hAnsi="Arial" w:cs="Arial"/>
      <w:b w:val="0"/>
      <w:bCs w:val="0"/>
      <w:i w:val="0"/>
      <w:iCs w:val="0"/>
      <w:strike w:val="0"/>
      <w:color w:val="000000"/>
      <w:sz w:val="20"/>
      <w:szCs w:val="20"/>
      <w:u w:val="none"/>
    </w:rPr>
  </w:style>
  <w:style w:type="paragraph" w:customStyle="1" w:styleId="Default">
    <w:name w:val="Default"/>
    <w:rsid w:val="00E06D94"/>
    <w:pPr>
      <w:autoSpaceDE w:val="0"/>
      <w:autoSpaceDN w:val="0"/>
      <w:adjustRightInd w:val="0"/>
    </w:pPr>
    <w:rPr>
      <w:rFonts w:ascii="Verdana" w:eastAsia="Times New Roman" w:hAnsi="Verdana" w:cs="Verdana"/>
      <w:color w:val="000000"/>
      <w:sz w:val="24"/>
      <w:szCs w:val="24"/>
    </w:rPr>
  </w:style>
  <w:style w:type="character" w:styleId="FollowedHyperlink">
    <w:name w:val="FollowedHyperlink"/>
    <w:uiPriority w:val="99"/>
    <w:semiHidden/>
    <w:unhideWhenUsed/>
    <w:rsid w:val="003F79A2"/>
    <w:rPr>
      <w:color w:val="800080"/>
      <w:u w:val="single"/>
    </w:rPr>
  </w:style>
  <w:style w:type="paragraph" w:styleId="Header">
    <w:name w:val="header"/>
    <w:basedOn w:val="Normal"/>
    <w:link w:val="HeaderChar"/>
    <w:uiPriority w:val="99"/>
    <w:unhideWhenUsed/>
    <w:rsid w:val="009478A5"/>
    <w:pPr>
      <w:tabs>
        <w:tab w:val="center" w:pos="4680"/>
        <w:tab w:val="right" w:pos="9360"/>
      </w:tabs>
      <w:spacing w:after="0"/>
    </w:pPr>
  </w:style>
  <w:style w:type="character" w:customStyle="1" w:styleId="HeaderChar">
    <w:name w:val="Header Char"/>
    <w:link w:val="Header"/>
    <w:uiPriority w:val="99"/>
    <w:rsid w:val="009478A5"/>
    <w:rPr>
      <w:rFonts w:ascii="Arial" w:hAnsi="Arial" w:cs="Arial"/>
    </w:rPr>
  </w:style>
  <w:style w:type="paragraph" w:styleId="Footer">
    <w:name w:val="footer"/>
    <w:basedOn w:val="Normal"/>
    <w:link w:val="FooterChar"/>
    <w:uiPriority w:val="99"/>
    <w:unhideWhenUsed/>
    <w:rsid w:val="009478A5"/>
    <w:pPr>
      <w:tabs>
        <w:tab w:val="center" w:pos="4680"/>
        <w:tab w:val="right" w:pos="9360"/>
      </w:tabs>
      <w:spacing w:after="0"/>
    </w:pPr>
  </w:style>
  <w:style w:type="character" w:customStyle="1" w:styleId="FooterChar">
    <w:name w:val="Footer Char"/>
    <w:link w:val="Footer"/>
    <w:uiPriority w:val="99"/>
    <w:rsid w:val="009478A5"/>
    <w:rPr>
      <w:rFonts w:ascii="Arial" w:hAnsi="Arial" w:cs="Arial"/>
    </w:rPr>
  </w:style>
  <w:style w:type="paragraph" w:customStyle="1" w:styleId="Address">
    <w:name w:val="Address"/>
    <w:basedOn w:val="Normal"/>
    <w:qFormat/>
    <w:rsid w:val="001A27A6"/>
    <w:pPr>
      <w:spacing w:after="0"/>
      <w:ind w:left="720"/>
    </w:pPr>
  </w:style>
  <w:style w:type="paragraph" w:customStyle="1" w:styleId="NumberedList">
    <w:name w:val="NumberedList"/>
    <w:basedOn w:val="Normal"/>
    <w:qFormat/>
    <w:rsid w:val="005436C3"/>
    <w:pPr>
      <w:numPr>
        <w:numId w:val="2"/>
      </w:numPr>
    </w:pPr>
    <w:rPr>
      <w:rFonts w:eastAsia="Times New Roman"/>
    </w:rPr>
  </w:style>
  <w:style w:type="paragraph" w:styleId="PlainText">
    <w:name w:val="Plain Text"/>
    <w:basedOn w:val="Normal"/>
    <w:link w:val="PlainTextChar"/>
    <w:uiPriority w:val="99"/>
    <w:semiHidden/>
    <w:unhideWhenUsed/>
    <w:rsid w:val="00747D45"/>
    <w:pPr>
      <w:spacing w:after="0"/>
    </w:pPr>
    <w:rPr>
      <w:rFonts w:ascii="Consolas" w:hAnsi="Consolas" w:cs="Consolas"/>
      <w:sz w:val="21"/>
      <w:szCs w:val="21"/>
    </w:rPr>
  </w:style>
  <w:style w:type="character" w:customStyle="1" w:styleId="PlainTextChar">
    <w:name w:val="Plain Text Char"/>
    <w:link w:val="PlainText"/>
    <w:uiPriority w:val="99"/>
    <w:semiHidden/>
    <w:rsid w:val="00747D45"/>
    <w:rPr>
      <w:rFonts w:ascii="Consolas" w:eastAsia="Calibri" w:hAnsi="Consolas" w:cs="Consolas"/>
      <w:sz w:val="21"/>
      <w:szCs w:val="21"/>
    </w:rPr>
  </w:style>
  <w:style w:type="paragraph" w:styleId="ListParagraph">
    <w:name w:val="List Paragraph"/>
    <w:basedOn w:val="Normal"/>
    <w:uiPriority w:val="34"/>
    <w:qFormat/>
    <w:rsid w:val="00726BCA"/>
    <w:pPr>
      <w:ind w:left="720"/>
      <w:contextualSpacing/>
    </w:pPr>
  </w:style>
  <w:style w:type="paragraph" w:customStyle="1" w:styleId="TableCell">
    <w:name w:val="Table Cell"/>
    <w:basedOn w:val="Normal"/>
    <w:qFormat/>
    <w:rsid w:val="00820316"/>
    <w:pPr>
      <w:spacing w:before="60" w:after="60"/>
    </w:pPr>
    <w:rPr>
      <w:sz w:val="20"/>
      <w:szCs w:val="20"/>
    </w:rPr>
  </w:style>
  <w:style w:type="paragraph" w:customStyle="1" w:styleId="Subheading">
    <w:name w:val="Subheading"/>
    <w:basedOn w:val="Heading2"/>
    <w:qFormat/>
    <w:rsid w:val="00B56C40"/>
    <w:pPr>
      <w:spacing w:after="240"/>
    </w:pPr>
    <w:rPr>
      <w:b w:val="0"/>
    </w:rPr>
  </w:style>
  <w:style w:type="paragraph" w:customStyle="1" w:styleId="Bulletlist">
    <w:name w:val="Bullet list"/>
    <w:basedOn w:val="ListParagraph"/>
    <w:qFormat/>
    <w:rsid w:val="00726BCA"/>
    <w:pPr>
      <w:numPr>
        <w:numId w:val="3"/>
      </w:numPr>
      <w:ind w:left="720"/>
    </w:pPr>
  </w:style>
  <w:style w:type="paragraph" w:customStyle="1" w:styleId="Numberedlist0">
    <w:name w:val="Numbered list"/>
    <w:basedOn w:val="ListParagraph"/>
    <w:qFormat/>
    <w:rsid w:val="00D84B0B"/>
    <w:pPr>
      <w:numPr>
        <w:numId w:val="4"/>
      </w:numPr>
      <w:ind w:left="720"/>
    </w:pPr>
  </w:style>
  <w:style w:type="paragraph" w:customStyle="1" w:styleId="Date">
    <w:name w:val="Date_"/>
    <w:basedOn w:val="Subheading"/>
    <w:qFormat/>
    <w:rsid w:val="00231F49"/>
    <w:rPr>
      <w:sz w:val="22"/>
      <w:szCs w:val="22"/>
    </w:rPr>
  </w:style>
  <w:style w:type="paragraph" w:customStyle="1" w:styleId="Addressblock">
    <w:name w:val="Address block"/>
    <w:basedOn w:val="Date"/>
    <w:qFormat/>
    <w:rsid w:val="00591F85"/>
  </w:style>
  <w:style w:type="paragraph" w:styleId="Title">
    <w:name w:val="Title"/>
    <w:basedOn w:val="Normal"/>
    <w:next w:val="Normal"/>
    <w:link w:val="TitleChar"/>
    <w:uiPriority w:val="10"/>
    <w:qFormat/>
    <w:rsid w:val="001E316C"/>
    <w:pPr>
      <w:spacing w:after="300"/>
      <w:contextualSpacing/>
      <w:jc w:val="center"/>
    </w:pPr>
    <w:rPr>
      <w:rFonts w:eastAsia="Times New Roman" w:cs="Times New Roman"/>
      <w:b/>
      <w:spacing w:val="5"/>
      <w:kern w:val="28"/>
      <w:sz w:val="28"/>
      <w:szCs w:val="52"/>
    </w:rPr>
  </w:style>
  <w:style w:type="character" w:customStyle="1" w:styleId="TitleChar">
    <w:name w:val="Title Char"/>
    <w:link w:val="Title"/>
    <w:uiPriority w:val="10"/>
    <w:rsid w:val="001E316C"/>
    <w:rPr>
      <w:rFonts w:ascii="Arial" w:eastAsia="Times New Roman" w:hAnsi="Arial" w:cs="Times New Roman"/>
      <w:b/>
      <w:spacing w:val="5"/>
      <w:kern w:val="28"/>
      <w:sz w:val="28"/>
      <w:szCs w:val="52"/>
    </w:rPr>
  </w:style>
  <w:style w:type="paragraph" w:customStyle="1" w:styleId="Indent">
    <w:name w:val="Indent"/>
    <w:basedOn w:val="Bulletlist"/>
    <w:qFormat/>
    <w:rsid w:val="009726D7"/>
    <w:pPr>
      <w:numPr>
        <w:numId w:val="0"/>
      </w:numPr>
      <w:ind w:left="720"/>
    </w:pPr>
  </w:style>
  <w:style w:type="paragraph" w:styleId="TOCHeading">
    <w:name w:val="TOC Heading"/>
    <w:basedOn w:val="Heading1"/>
    <w:next w:val="Normal"/>
    <w:uiPriority w:val="39"/>
    <w:unhideWhenUsed/>
    <w:qFormat/>
    <w:rsid w:val="00CD7D85"/>
    <w:pPr>
      <w:keepLines/>
      <w:spacing w:before="480" w:after="0" w:line="276" w:lineRule="auto"/>
      <w:outlineLvl w:val="9"/>
    </w:pPr>
    <w:rPr>
      <w:rFonts w:ascii="Cambria" w:eastAsia="Times New Roman" w:hAnsi="Cambria" w:cs="Times New Roman"/>
      <w:bCs/>
      <w:color w:val="365F91"/>
    </w:rPr>
  </w:style>
  <w:style w:type="paragraph" w:styleId="TOC1">
    <w:name w:val="toc 1"/>
    <w:basedOn w:val="Normal"/>
    <w:next w:val="Normal"/>
    <w:autoRedefine/>
    <w:uiPriority w:val="39"/>
    <w:unhideWhenUsed/>
    <w:rsid w:val="00B21BB6"/>
    <w:pPr>
      <w:keepNext/>
      <w:tabs>
        <w:tab w:val="right" w:leader="dot" w:pos="9350"/>
      </w:tabs>
      <w:spacing w:after="100"/>
    </w:pPr>
  </w:style>
  <w:style w:type="paragraph" w:styleId="TOC2">
    <w:name w:val="toc 2"/>
    <w:basedOn w:val="Normal"/>
    <w:next w:val="Normal"/>
    <w:autoRedefine/>
    <w:uiPriority w:val="39"/>
    <w:unhideWhenUsed/>
    <w:rsid w:val="00CD7D85"/>
    <w:pPr>
      <w:spacing w:after="100"/>
      <w:ind w:left="220"/>
    </w:pPr>
  </w:style>
  <w:style w:type="table" w:styleId="TableGrid">
    <w:name w:val="Table Grid"/>
    <w:basedOn w:val="TableNormal"/>
    <w:uiPriority w:val="59"/>
    <w:rsid w:val="002B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E5"/>
    <w:pPr>
      <w:spacing w:after="0"/>
    </w:pPr>
    <w:rPr>
      <w:rFonts w:ascii="Tahoma" w:hAnsi="Tahoma" w:cs="Tahoma"/>
      <w:sz w:val="16"/>
      <w:szCs w:val="16"/>
    </w:rPr>
  </w:style>
  <w:style w:type="character" w:customStyle="1" w:styleId="BalloonTextChar">
    <w:name w:val="Balloon Text Char"/>
    <w:link w:val="BalloonText"/>
    <w:uiPriority w:val="99"/>
    <w:semiHidden/>
    <w:rsid w:val="000136E5"/>
    <w:rPr>
      <w:rFonts w:ascii="Tahoma" w:hAnsi="Tahoma" w:cs="Tahoma"/>
      <w:sz w:val="16"/>
      <w:szCs w:val="16"/>
    </w:rPr>
  </w:style>
  <w:style w:type="paragraph" w:styleId="NoSpacing">
    <w:name w:val="No Spacing"/>
    <w:link w:val="NoSpacingChar"/>
    <w:uiPriority w:val="1"/>
    <w:qFormat/>
    <w:rsid w:val="00741E11"/>
    <w:rPr>
      <w:rFonts w:eastAsia="Times New Roman"/>
      <w:sz w:val="22"/>
      <w:szCs w:val="22"/>
    </w:rPr>
  </w:style>
  <w:style w:type="character" w:customStyle="1" w:styleId="NoSpacingChar">
    <w:name w:val="No Spacing Char"/>
    <w:link w:val="NoSpacing"/>
    <w:uiPriority w:val="1"/>
    <w:rsid w:val="00741E11"/>
    <w:rPr>
      <w:rFonts w:eastAsia="Times New Roman"/>
      <w:sz w:val="22"/>
      <w:szCs w:val="22"/>
      <w:lang w:val="en-US" w:eastAsia="en-US" w:bidi="ar-SA"/>
    </w:rPr>
  </w:style>
  <w:style w:type="paragraph" w:customStyle="1" w:styleId="ContentsHeader">
    <w:name w:val="Contents Header"/>
    <w:basedOn w:val="Heading1"/>
    <w:qFormat/>
    <w:rsid w:val="00610145"/>
  </w:style>
  <w:style w:type="paragraph" w:styleId="TOC3">
    <w:name w:val="toc 3"/>
    <w:basedOn w:val="Normal"/>
    <w:next w:val="Normal"/>
    <w:autoRedefine/>
    <w:uiPriority w:val="39"/>
    <w:unhideWhenUsed/>
    <w:rsid w:val="00FA31D5"/>
    <w:pPr>
      <w:spacing w:after="100"/>
      <w:ind w:left="440"/>
    </w:pPr>
  </w:style>
  <w:style w:type="paragraph" w:styleId="TOC4">
    <w:name w:val="toc 4"/>
    <w:basedOn w:val="Normal"/>
    <w:next w:val="Normal"/>
    <w:autoRedefine/>
    <w:uiPriority w:val="39"/>
    <w:unhideWhenUsed/>
    <w:rsid w:val="00D02D11"/>
    <w:pPr>
      <w:ind w:left="660"/>
    </w:pPr>
  </w:style>
  <w:style w:type="paragraph" w:styleId="TOC5">
    <w:name w:val="toc 5"/>
    <w:basedOn w:val="Normal"/>
    <w:next w:val="Normal"/>
    <w:autoRedefine/>
    <w:uiPriority w:val="39"/>
    <w:unhideWhenUsed/>
    <w:rsid w:val="001B7C42"/>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1B7C42"/>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1B7C42"/>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1B7C42"/>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1B7C42"/>
    <w:pPr>
      <w:spacing w:after="100" w:line="276" w:lineRule="auto"/>
      <w:ind w:left="1760"/>
    </w:pPr>
    <w:rPr>
      <w:rFonts w:ascii="Calibri" w:eastAsia="Times New Roman" w:hAnsi="Calibri" w:cs="Times New Roman"/>
    </w:rPr>
  </w:style>
  <w:style w:type="paragraph" w:customStyle="1" w:styleId="TableHead0">
    <w:name w:val="TableHead"/>
    <w:basedOn w:val="Normal"/>
    <w:qFormat/>
    <w:rsid w:val="001D3CC4"/>
    <w:pPr>
      <w:spacing w:before="120"/>
      <w:jc w:val="center"/>
    </w:pPr>
    <w:rPr>
      <w:b/>
    </w:rPr>
  </w:style>
  <w:style w:type="paragraph" w:customStyle="1" w:styleId="TableCell0">
    <w:name w:val="TableCell"/>
    <w:basedOn w:val="Normal"/>
    <w:qFormat/>
    <w:rsid w:val="00072119"/>
    <w:pPr>
      <w:spacing w:before="60" w:after="60"/>
    </w:pPr>
  </w:style>
  <w:style w:type="paragraph" w:customStyle="1" w:styleId="TableCellcentered">
    <w:name w:val="TableCell centered"/>
    <w:basedOn w:val="TableCell0"/>
    <w:qFormat/>
    <w:rsid w:val="001D3CC4"/>
  </w:style>
  <w:style w:type="table" w:customStyle="1" w:styleId="TableGrid1">
    <w:name w:val="Table Grid1"/>
    <w:basedOn w:val="TableNormal"/>
    <w:next w:val="TableGrid"/>
    <w:uiPriority w:val="59"/>
    <w:rsid w:val="00AB2A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9080">
      <w:bodyDiv w:val="1"/>
      <w:marLeft w:val="0"/>
      <w:marRight w:val="0"/>
      <w:marTop w:val="0"/>
      <w:marBottom w:val="0"/>
      <w:divBdr>
        <w:top w:val="none" w:sz="0" w:space="0" w:color="auto"/>
        <w:left w:val="none" w:sz="0" w:space="0" w:color="auto"/>
        <w:bottom w:val="none" w:sz="0" w:space="0" w:color="auto"/>
        <w:right w:val="none" w:sz="0" w:space="0" w:color="auto"/>
      </w:divBdr>
    </w:div>
    <w:div w:id="264965102">
      <w:bodyDiv w:val="1"/>
      <w:marLeft w:val="0"/>
      <w:marRight w:val="0"/>
      <w:marTop w:val="0"/>
      <w:marBottom w:val="0"/>
      <w:divBdr>
        <w:top w:val="none" w:sz="0" w:space="0" w:color="auto"/>
        <w:left w:val="none" w:sz="0" w:space="0" w:color="auto"/>
        <w:bottom w:val="none" w:sz="0" w:space="0" w:color="auto"/>
        <w:right w:val="none" w:sz="0" w:space="0" w:color="auto"/>
      </w:divBdr>
    </w:div>
    <w:div w:id="280454787">
      <w:bodyDiv w:val="1"/>
      <w:marLeft w:val="0"/>
      <w:marRight w:val="0"/>
      <w:marTop w:val="0"/>
      <w:marBottom w:val="0"/>
      <w:divBdr>
        <w:top w:val="none" w:sz="0" w:space="0" w:color="auto"/>
        <w:left w:val="none" w:sz="0" w:space="0" w:color="auto"/>
        <w:bottom w:val="none" w:sz="0" w:space="0" w:color="auto"/>
        <w:right w:val="none" w:sz="0" w:space="0" w:color="auto"/>
      </w:divBdr>
    </w:div>
    <w:div w:id="476801389">
      <w:bodyDiv w:val="1"/>
      <w:marLeft w:val="0"/>
      <w:marRight w:val="0"/>
      <w:marTop w:val="0"/>
      <w:marBottom w:val="0"/>
      <w:divBdr>
        <w:top w:val="none" w:sz="0" w:space="0" w:color="auto"/>
        <w:left w:val="none" w:sz="0" w:space="0" w:color="auto"/>
        <w:bottom w:val="none" w:sz="0" w:space="0" w:color="auto"/>
        <w:right w:val="none" w:sz="0" w:space="0" w:color="auto"/>
      </w:divBdr>
    </w:div>
    <w:div w:id="587152370">
      <w:bodyDiv w:val="1"/>
      <w:marLeft w:val="0"/>
      <w:marRight w:val="0"/>
      <w:marTop w:val="20"/>
      <w:marBottom w:val="500"/>
      <w:divBdr>
        <w:top w:val="none" w:sz="0" w:space="0" w:color="auto"/>
        <w:left w:val="none" w:sz="0" w:space="0" w:color="auto"/>
        <w:bottom w:val="none" w:sz="0" w:space="0" w:color="auto"/>
        <w:right w:val="none" w:sz="0" w:space="0" w:color="auto"/>
      </w:divBdr>
      <w:divsChild>
        <w:div w:id="1399010982">
          <w:marLeft w:val="0"/>
          <w:marRight w:val="0"/>
          <w:marTop w:val="0"/>
          <w:marBottom w:val="0"/>
          <w:divBdr>
            <w:top w:val="none" w:sz="0" w:space="0" w:color="auto"/>
            <w:left w:val="none" w:sz="0" w:space="0" w:color="auto"/>
            <w:bottom w:val="none" w:sz="0" w:space="0" w:color="auto"/>
            <w:right w:val="none" w:sz="0" w:space="0" w:color="auto"/>
          </w:divBdr>
        </w:div>
      </w:divsChild>
    </w:div>
    <w:div w:id="901450741">
      <w:bodyDiv w:val="1"/>
      <w:marLeft w:val="0"/>
      <w:marRight w:val="0"/>
      <w:marTop w:val="0"/>
      <w:marBottom w:val="0"/>
      <w:divBdr>
        <w:top w:val="none" w:sz="0" w:space="0" w:color="auto"/>
        <w:left w:val="none" w:sz="0" w:space="0" w:color="auto"/>
        <w:bottom w:val="none" w:sz="0" w:space="0" w:color="auto"/>
        <w:right w:val="none" w:sz="0" w:space="0" w:color="auto"/>
      </w:divBdr>
    </w:div>
    <w:div w:id="942763559">
      <w:bodyDiv w:val="1"/>
      <w:marLeft w:val="0"/>
      <w:marRight w:val="0"/>
      <w:marTop w:val="0"/>
      <w:marBottom w:val="0"/>
      <w:divBdr>
        <w:top w:val="none" w:sz="0" w:space="0" w:color="auto"/>
        <w:left w:val="none" w:sz="0" w:space="0" w:color="auto"/>
        <w:bottom w:val="none" w:sz="0" w:space="0" w:color="auto"/>
        <w:right w:val="none" w:sz="0" w:space="0" w:color="auto"/>
      </w:divBdr>
    </w:div>
    <w:div w:id="954289982">
      <w:bodyDiv w:val="1"/>
      <w:marLeft w:val="0"/>
      <w:marRight w:val="0"/>
      <w:marTop w:val="20"/>
      <w:marBottom w:val="500"/>
      <w:divBdr>
        <w:top w:val="none" w:sz="0" w:space="0" w:color="auto"/>
        <w:left w:val="none" w:sz="0" w:space="0" w:color="auto"/>
        <w:bottom w:val="none" w:sz="0" w:space="0" w:color="auto"/>
        <w:right w:val="none" w:sz="0" w:space="0" w:color="auto"/>
      </w:divBdr>
      <w:divsChild>
        <w:div w:id="1869877781">
          <w:marLeft w:val="0"/>
          <w:marRight w:val="0"/>
          <w:marTop w:val="0"/>
          <w:marBottom w:val="0"/>
          <w:divBdr>
            <w:top w:val="none" w:sz="0" w:space="0" w:color="auto"/>
            <w:left w:val="none" w:sz="0" w:space="0" w:color="auto"/>
            <w:bottom w:val="none" w:sz="0" w:space="0" w:color="auto"/>
            <w:right w:val="none" w:sz="0" w:space="0" w:color="auto"/>
          </w:divBdr>
        </w:div>
      </w:divsChild>
    </w:div>
    <w:div w:id="1073965638">
      <w:bodyDiv w:val="1"/>
      <w:marLeft w:val="0"/>
      <w:marRight w:val="0"/>
      <w:marTop w:val="20"/>
      <w:marBottom w:val="500"/>
      <w:divBdr>
        <w:top w:val="none" w:sz="0" w:space="0" w:color="auto"/>
        <w:left w:val="none" w:sz="0" w:space="0" w:color="auto"/>
        <w:bottom w:val="none" w:sz="0" w:space="0" w:color="auto"/>
        <w:right w:val="none" w:sz="0" w:space="0" w:color="auto"/>
      </w:divBdr>
      <w:divsChild>
        <w:div w:id="2115594936">
          <w:marLeft w:val="0"/>
          <w:marRight w:val="0"/>
          <w:marTop w:val="0"/>
          <w:marBottom w:val="0"/>
          <w:divBdr>
            <w:top w:val="none" w:sz="0" w:space="0" w:color="auto"/>
            <w:left w:val="none" w:sz="0" w:space="0" w:color="auto"/>
            <w:bottom w:val="none" w:sz="0" w:space="0" w:color="auto"/>
            <w:right w:val="none" w:sz="0" w:space="0" w:color="auto"/>
          </w:divBdr>
        </w:div>
      </w:divsChild>
    </w:div>
    <w:div w:id="1125075232">
      <w:bodyDiv w:val="1"/>
      <w:marLeft w:val="0"/>
      <w:marRight w:val="0"/>
      <w:marTop w:val="0"/>
      <w:marBottom w:val="0"/>
      <w:divBdr>
        <w:top w:val="none" w:sz="0" w:space="0" w:color="auto"/>
        <w:left w:val="none" w:sz="0" w:space="0" w:color="auto"/>
        <w:bottom w:val="none" w:sz="0" w:space="0" w:color="auto"/>
        <w:right w:val="none" w:sz="0" w:space="0" w:color="auto"/>
      </w:divBdr>
    </w:div>
    <w:div w:id="1158378386">
      <w:bodyDiv w:val="1"/>
      <w:marLeft w:val="0"/>
      <w:marRight w:val="0"/>
      <w:marTop w:val="20"/>
      <w:marBottom w:val="500"/>
      <w:divBdr>
        <w:top w:val="none" w:sz="0" w:space="0" w:color="auto"/>
        <w:left w:val="none" w:sz="0" w:space="0" w:color="auto"/>
        <w:bottom w:val="none" w:sz="0" w:space="0" w:color="auto"/>
        <w:right w:val="none" w:sz="0" w:space="0" w:color="auto"/>
      </w:divBdr>
      <w:divsChild>
        <w:div w:id="830680562">
          <w:marLeft w:val="0"/>
          <w:marRight w:val="0"/>
          <w:marTop w:val="0"/>
          <w:marBottom w:val="0"/>
          <w:divBdr>
            <w:top w:val="none" w:sz="0" w:space="0" w:color="auto"/>
            <w:left w:val="none" w:sz="0" w:space="0" w:color="auto"/>
            <w:bottom w:val="none" w:sz="0" w:space="0" w:color="auto"/>
            <w:right w:val="none" w:sz="0" w:space="0" w:color="auto"/>
          </w:divBdr>
        </w:div>
      </w:divsChild>
    </w:div>
    <w:div w:id="1304429233">
      <w:bodyDiv w:val="1"/>
      <w:marLeft w:val="0"/>
      <w:marRight w:val="0"/>
      <w:marTop w:val="20"/>
      <w:marBottom w:val="500"/>
      <w:divBdr>
        <w:top w:val="none" w:sz="0" w:space="0" w:color="auto"/>
        <w:left w:val="none" w:sz="0" w:space="0" w:color="auto"/>
        <w:bottom w:val="none" w:sz="0" w:space="0" w:color="auto"/>
        <w:right w:val="none" w:sz="0" w:space="0" w:color="auto"/>
      </w:divBdr>
      <w:divsChild>
        <w:div w:id="1051541420">
          <w:marLeft w:val="0"/>
          <w:marRight w:val="0"/>
          <w:marTop w:val="0"/>
          <w:marBottom w:val="0"/>
          <w:divBdr>
            <w:top w:val="none" w:sz="0" w:space="0" w:color="auto"/>
            <w:left w:val="none" w:sz="0" w:space="0" w:color="auto"/>
            <w:bottom w:val="none" w:sz="0" w:space="0" w:color="auto"/>
            <w:right w:val="none" w:sz="0" w:space="0" w:color="auto"/>
          </w:divBdr>
        </w:div>
      </w:divsChild>
    </w:div>
    <w:div w:id="1313171856">
      <w:bodyDiv w:val="1"/>
      <w:marLeft w:val="0"/>
      <w:marRight w:val="0"/>
      <w:marTop w:val="0"/>
      <w:marBottom w:val="0"/>
      <w:divBdr>
        <w:top w:val="none" w:sz="0" w:space="0" w:color="auto"/>
        <w:left w:val="none" w:sz="0" w:space="0" w:color="auto"/>
        <w:bottom w:val="none" w:sz="0" w:space="0" w:color="auto"/>
        <w:right w:val="none" w:sz="0" w:space="0" w:color="auto"/>
      </w:divBdr>
    </w:div>
    <w:div w:id="1434088407">
      <w:bodyDiv w:val="1"/>
      <w:marLeft w:val="0"/>
      <w:marRight w:val="0"/>
      <w:marTop w:val="0"/>
      <w:marBottom w:val="0"/>
      <w:divBdr>
        <w:top w:val="none" w:sz="0" w:space="0" w:color="auto"/>
        <w:left w:val="none" w:sz="0" w:space="0" w:color="auto"/>
        <w:bottom w:val="none" w:sz="0" w:space="0" w:color="auto"/>
        <w:right w:val="none" w:sz="0" w:space="0" w:color="auto"/>
      </w:divBdr>
    </w:div>
    <w:div w:id="1577207461">
      <w:bodyDiv w:val="1"/>
      <w:marLeft w:val="0"/>
      <w:marRight w:val="0"/>
      <w:marTop w:val="0"/>
      <w:marBottom w:val="0"/>
      <w:divBdr>
        <w:top w:val="none" w:sz="0" w:space="0" w:color="auto"/>
        <w:left w:val="none" w:sz="0" w:space="0" w:color="auto"/>
        <w:bottom w:val="none" w:sz="0" w:space="0" w:color="auto"/>
        <w:right w:val="none" w:sz="0" w:space="0" w:color="auto"/>
      </w:divBdr>
    </w:div>
    <w:div w:id="1595162355">
      <w:bodyDiv w:val="1"/>
      <w:marLeft w:val="0"/>
      <w:marRight w:val="0"/>
      <w:marTop w:val="0"/>
      <w:marBottom w:val="0"/>
      <w:divBdr>
        <w:top w:val="none" w:sz="0" w:space="0" w:color="auto"/>
        <w:left w:val="none" w:sz="0" w:space="0" w:color="auto"/>
        <w:bottom w:val="none" w:sz="0" w:space="0" w:color="auto"/>
        <w:right w:val="none" w:sz="0" w:space="0" w:color="auto"/>
      </w:divBdr>
    </w:div>
    <w:div w:id="1666935528">
      <w:bodyDiv w:val="1"/>
      <w:marLeft w:val="0"/>
      <w:marRight w:val="0"/>
      <w:marTop w:val="20"/>
      <w:marBottom w:val="500"/>
      <w:divBdr>
        <w:top w:val="none" w:sz="0" w:space="0" w:color="auto"/>
        <w:left w:val="none" w:sz="0" w:space="0" w:color="auto"/>
        <w:bottom w:val="none" w:sz="0" w:space="0" w:color="auto"/>
        <w:right w:val="none" w:sz="0" w:space="0" w:color="auto"/>
      </w:divBdr>
      <w:divsChild>
        <w:div w:id="664553096">
          <w:marLeft w:val="0"/>
          <w:marRight w:val="0"/>
          <w:marTop w:val="0"/>
          <w:marBottom w:val="0"/>
          <w:divBdr>
            <w:top w:val="none" w:sz="0" w:space="0" w:color="auto"/>
            <w:left w:val="none" w:sz="0" w:space="0" w:color="auto"/>
            <w:bottom w:val="none" w:sz="0" w:space="0" w:color="auto"/>
            <w:right w:val="none" w:sz="0" w:space="0" w:color="auto"/>
          </w:divBdr>
        </w:div>
      </w:divsChild>
    </w:div>
    <w:div w:id="1692341014">
      <w:bodyDiv w:val="1"/>
      <w:marLeft w:val="0"/>
      <w:marRight w:val="0"/>
      <w:marTop w:val="0"/>
      <w:marBottom w:val="0"/>
      <w:divBdr>
        <w:top w:val="none" w:sz="0" w:space="0" w:color="auto"/>
        <w:left w:val="none" w:sz="0" w:space="0" w:color="auto"/>
        <w:bottom w:val="none" w:sz="0" w:space="0" w:color="auto"/>
        <w:right w:val="none" w:sz="0" w:space="0" w:color="auto"/>
      </w:divBdr>
      <w:divsChild>
        <w:div w:id="1960070339">
          <w:marLeft w:val="2692"/>
          <w:marRight w:val="313"/>
          <w:marTop w:val="0"/>
          <w:marBottom w:val="0"/>
          <w:divBdr>
            <w:top w:val="none" w:sz="0" w:space="0" w:color="auto"/>
            <w:left w:val="none" w:sz="0" w:space="0" w:color="auto"/>
            <w:bottom w:val="none" w:sz="0" w:space="0" w:color="auto"/>
            <w:right w:val="none" w:sz="0" w:space="0" w:color="auto"/>
          </w:divBdr>
          <w:divsChild>
            <w:div w:id="323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449">
      <w:bodyDiv w:val="1"/>
      <w:marLeft w:val="0"/>
      <w:marRight w:val="0"/>
      <w:marTop w:val="20"/>
      <w:marBottom w:val="500"/>
      <w:divBdr>
        <w:top w:val="none" w:sz="0" w:space="0" w:color="auto"/>
        <w:left w:val="none" w:sz="0" w:space="0" w:color="auto"/>
        <w:bottom w:val="none" w:sz="0" w:space="0" w:color="auto"/>
        <w:right w:val="none" w:sz="0" w:space="0" w:color="auto"/>
      </w:divBdr>
      <w:divsChild>
        <w:div w:id="1796219806">
          <w:marLeft w:val="0"/>
          <w:marRight w:val="0"/>
          <w:marTop w:val="0"/>
          <w:marBottom w:val="0"/>
          <w:divBdr>
            <w:top w:val="none" w:sz="0" w:space="0" w:color="auto"/>
            <w:left w:val="none" w:sz="0" w:space="0" w:color="auto"/>
            <w:bottom w:val="none" w:sz="0" w:space="0" w:color="auto"/>
            <w:right w:val="none" w:sz="0" w:space="0" w:color="auto"/>
          </w:divBdr>
        </w:div>
      </w:divsChild>
    </w:div>
    <w:div w:id="1825386875">
      <w:bodyDiv w:val="1"/>
      <w:marLeft w:val="0"/>
      <w:marRight w:val="0"/>
      <w:marTop w:val="20"/>
      <w:marBottom w:val="500"/>
      <w:divBdr>
        <w:top w:val="none" w:sz="0" w:space="0" w:color="auto"/>
        <w:left w:val="none" w:sz="0" w:space="0" w:color="auto"/>
        <w:bottom w:val="none" w:sz="0" w:space="0" w:color="auto"/>
        <w:right w:val="none" w:sz="0" w:space="0" w:color="auto"/>
      </w:divBdr>
      <w:divsChild>
        <w:div w:id="1238707683">
          <w:marLeft w:val="0"/>
          <w:marRight w:val="0"/>
          <w:marTop w:val="0"/>
          <w:marBottom w:val="0"/>
          <w:divBdr>
            <w:top w:val="none" w:sz="0" w:space="0" w:color="auto"/>
            <w:left w:val="none" w:sz="0" w:space="0" w:color="auto"/>
            <w:bottom w:val="none" w:sz="0" w:space="0" w:color="auto"/>
            <w:right w:val="none" w:sz="0" w:space="0" w:color="auto"/>
          </w:divBdr>
        </w:div>
      </w:divsChild>
    </w:div>
    <w:div w:id="1830561575">
      <w:bodyDiv w:val="1"/>
      <w:marLeft w:val="0"/>
      <w:marRight w:val="0"/>
      <w:marTop w:val="23"/>
      <w:marBottom w:val="576"/>
      <w:divBdr>
        <w:top w:val="none" w:sz="0" w:space="0" w:color="auto"/>
        <w:left w:val="none" w:sz="0" w:space="0" w:color="auto"/>
        <w:bottom w:val="none" w:sz="0" w:space="0" w:color="auto"/>
        <w:right w:val="none" w:sz="0" w:space="0" w:color="auto"/>
      </w:divBdr>
      <w:divsChild>
        <w:div w:id="66659687">
          <w:marLeft w:val="0"/>
          <w:marRight w:val="0"/>
          <w:marTop w:val="0"/>
          <w:marBottom w:val="0"/>
          <w:divBdr>
            <w:top w:val="none" w:sz="0" w:space="0" w:color="auto"/>
            <w:left w:val="none" w:sz="0" w:space="0" w:color="auto"/>
            <w:bottom w:val="none" w:sz="0" w:space="0" w:color="auto"/>
            <w:right w:val="none" w:sz="0" w:space="0" w:color="auto"/>
          </w:divBdr>
        </w:div>
      </w:divsChild>
    </w:div>
    <w:div w:id="2083747980">
      <w:bodyDiv w:val="1"/>
      <w:marLeft w:val="0"/>
      <w:marRight w:val="0"/>
      <w:marTop w:val="0"/>
      <w:marBottom w:val="0"/>
      <w:divBdr>
        <w:top w:val="none" w:sz="0" w:space="0" w:color="auto"/>
        <w:left w:val="none" w:sz="0" w:space="0" w:color="auto"/>
        <w:bottom w:val="none" w:sz="0" w:space="0" w:color="auto"/>
        <w:right w:val="none" w:sz="0" w:space="0" w:color="auto"/>
      </w:divBdr>
    </w:div>
    <w:div w:id="2144536133">
      <w:bodyDiv w:val="1"/>
      <w:marLeft w:val="0"/>
      <w:marRight w:val="0"/>
      <w:marTop w:val="20"/>
      <w:marBottom w:val="500"/>
      <w:divBdr>
        <w:top w:val="none" w:sz="0" w:space="0" w:color="auto"/>
        <w:left w:val="none" w:sz="0" w:space="0" w:color="auto"/>
        <w:bottom w:val="none" w:sz="0" w:space="0" w:color="auto"/>
        <w:right w:val="none" w:sz="0" w:space="0" w:color="auto"/>
      </w:divBdr>
      <w:divsChild>
        <w:div w:id="35739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pyrights@tea.state.tx.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a.texas.gov/Finance_and_Grants/Grants/Administering_a_Grant/Administering_a_Gra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a.texas.gov/Finance_and_Grants/Grants/Administering_a_Grant/Administering_a_Gra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374F912BE4B47AC3C246DDB4E4509" ma:contentTypeVersion="0" ma:contentTypeDescription="Create a new document." ma:contentTypeScope="" ma:versionID="8a0a60c0c2f9b692ae705de874b6bd9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518D-973C-4629-9DC2-967CEB55D38B}">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8D6EE9F-F227-4876-9CB6-FCE17FA6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31E001-42F0-4886-BAAF-63F68C60CA1B}">
  <ds:schemaRefs>
    <ds:schemaRef ds:uri="http://schemas.microsoft.com/sharepoint/v3/contenttype/forms"/>
  </ds:schemaRefs>
</ds:datastoreItem>
</file>

<file path=customXml/itemProps4.xml><?xml version="1.0" encoding="utf-8"?>
<ds:datastoreItem xmlns:ds="http://schemas.openxmlformats.org/officeDocument/2006/customXml" ds:itemID="{CAF91FD6-6AEC-4314-8E12-A681CD19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1442</Words>
  <Characters>8222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Grant Management Handbook</vt:lpstr>
    </vt:vector>
  </TitlesOfParts>
  <Company>Texas Education Agency</Company>
  <LinksUpToDate>false</LinksUpToDate>
  <CharactersWithSpaces>9645</CharactersWithSpaces>
  <SharedDoc>false</SharedDoc>
  <HLinks>
    <vt:vector size="114" baseType="variant">
      <vt:variant>
        <vt:i4>3670038</vt:i4>
      </vt:variant>
      <vt:variant>
        <vt:i4>168</vt:i4>
      </vt:variant>
      <vt:variant>
        <vt:i4>0</vt:i4>
      </vt:variant>
      <vt:variant>
        <vt:i4>5</vt:i4>
      </vt:variant>
      <vt:variant>
        <vt:lpwstr>mailto:copyrights@tea.state.tx.us</vt:lpwstr>
      </vt:variant>
      <vt:variant>
        <vt:lpwstr/>
      </vt:variant>
      <vt:variant>
        <vt:i4>3080224</vt:i4>
      </vt:variant>
      <vt:variant>
        <vt:i4>84</vt:i4>
      </vt:variant>
      <vt:variant>
        <vt:i4>0</vt:i4>
      </vt:variant>
      <vt:variant>
        <vt:i4>5</vt:i4>
      </vt:variant>
      <vt:variant>
        <vt:lpwstr>mailto:FPC_Compliance@tea.state.tx.us</vt:lpwstr>
      </vt:variant>
      <vt:variant>
        <vt:lpwstr/>
      </vt:variant>
      <vt:variant>
        <vt:i4>5570613</vt:i4>
      </vt:variant>
      <vt:variant>
        <vt:i4>81</vt:i4>
      </vt:variant>
      <vt:variant>
        <vt:i4>0</vt:i4>
      </vt:variant>
      <vt:variant>
        <vt:i4>5</vt:i4>
      </vt:variant>
      <vt:variant>
        <vt:lpwstr>http://www.tea.state.tx.us/index2.aspx?id=3842&amp;menu_id=645</vt:lpwstr>
      </vt:variant>
      <vt:variant>
        <vt:lpwstr/>
      </vt:variant>
      <vt:variant>
        <vt:i4>2752610</vt:i4>
      </vt:variant>
      <vt:variant>
        <vt:i4>78</vt:i4>
      </vt:variant>
      <vt:variant>
        <vt:i4>0</vt:i4>
      </vt:variant>
      <vt:variant>
        <vt:i4>5</vt:i4>
      </vt:variant>
      <vt:variant>
        <vt:lpwstr>http://www.whitehouse.gov/omb/circulars_a122_2004</vt:lpwstr>
      </vt:variant>
      <vt:variant>
        <vt:lpwstr/>
      </vt:variant>
      <vt:variant>
        <vt:i4>3014760</vt:i4>
      </vt:variant>
      <vt:variant>
        <vt:i4>75</vt:i4>
      </vt:variant>
      <vt:variant>
        <vt:i4>0</vt:i4>
      </vt:variant>
      <vt:variant>
        <vt:i4>5</vt:i4>
      </vt:variant>
      <vt:variant>
        <vt:lpwstr>http://www.whitehouse.gov/omb/circulars_a087_2004</vt:lpwstr>
      </vt:variant>
      <vt:variant>
        <vt:lpwstr/>
      </vt:variant>
      <vt:variant>
        <vt:i4>5570581</vt:i4>
      </vt:variant>
      <vt:variant>
        <vt:i4>72</vt:i4>
      </vt:variant>
      <vt:variant>
        <vt:i4>0</vt:i4>
      </vt:variant>
      <vt:variant>
        <vt:i4>5</vt:i4>
      </vt:variant>
      <vt:variant>
        <vt:lpwstr>http://www2.ed.gov/about/offices/list/ocfo/fipao/guideigcwebsite.pdf</vt:lpwstr>
      </vt:variant>
      <vt:variant>
        <vt:lpwstr/>
      </vt:variant>
      <vt:variant>
        <vt:i4>6553697</vt:i4>
      </vt:variant>
      <vt:variant>
        <vt:i4>69</vt:i4>
      </vt:variant>
      <vt:variant>
        <vt:i4>0</vt:i4>
      </vt:variant>
      <vt:variant>
        <vt:i4>5</vt:i4>
      </vt:variant>
      <vt:variant>
        <vt:lpwstr>http://www.tea.state.tx.us/index4.aspx?id=1222</vt:lpwstr>
      </vt:variant>
      <vt:variant>
        <vt:lpwstr/>
      </vt:variant>
      <vt:variant>
        <vt:i4>3014760</vt:i4>
      </vt:variant>
      <vt:variant>
        <vt:i4>66</vt:i4>
      </vt:variant>
      <vt:variant>
        <vt:i4>0</vt:i4>
      </vt:variant>
      <vt:variant>
        <vt:i4>5</vt:i4>
      </vt:variant>
      <vt:variant>
        <vt:lpwstr>http://www.whitehouse.gov/omb/circulars_a087_2004</vt:lpwstr>
      </vt:variant>
      <vt:variant>
        <vt:lpwstr/>
      </vt:variant>
      <vt:variant>
        <vt:i4>2621538</vt:i4>
      </vt:variant>
      <vt:variant>
        <vt:i4>63</vt:i4>
      </vt:variant>
      <vt:variant>
        <vt:i4>0</vt:i4>
      </vt:variant>
      <vt:variant>
        <vt:i4>5</vt:i4>
      </vt:variant>
      <vt:variant>
        <vt:lpwstr>http://www.whitehouse.gov/omb/circulars_a021_2004</vt:lpwstr>
      </vt:variant>
      <vt:variant>
        <vt:lpwstr/>
      </vt:variant>
      <vt:variant>
        <vt:i4>1114173</vt:i4>
      </vt:variant>
      <vt:variant>
        <vt:i4>56</vt:i4>
      </vt:variant>
      <vt:variant>
        <vt:i4>0</vt:i4>
      </vt:variant>
      <vt:variant>
        <vt:i4>5</vt:i4>
      </vt:variant>
      <vt:variant>
        <vt:lpwstr/>
      </vt:variant>
      <vt:variant>
        <vt:lpwstr>_Toc358632572</vt:lpwstr>
      </vt:variant>
      <vt:variant>
        <vt:i4>1114173</vt:i4>
      </vt:variant>
      <vt:variant>
        <vt:i4>50</vt:i4>
      </vt:variant>
      <vt:variant>
        <vt:i4>0</vt:i4>
      </vt:variant>
      <vt:variant>
        <vt:i4>5</vt:i4>
      </vt:variant>
      <vt:variant>
        <vt:lpwstr/>
      </vt:variant>
      <vt:variant>
        <vt:lpwstr>_Toc358632571</vt:lpwstr>
      </vt:variant>
      <vt:variant>
        <vt:i4>1114173</vt:i4>
      </vt:variant>
      <vt:variant>
        <vt:i4>44</vt:i4>
      </vt:variant>
      <vt:variant>
        <vt:i4>0</vt:i4>
      </vt:variant>
      <vt:variant>
        <vt:i4>5</vt:i4>
      </vt:variant>
      <vt:variant>
        <vt:lpwstr/>
      </vt:variant>
      <vt:variant>
        <vt:lpwstr>_Toc358632570</vt:lpwstr>
      </vt:variant>
      <vt:variant>
        <vt:i4>1048637</vt:i4>
      </vt:variant>
      <vt:variant>
        <vt:i4>38</vt:i4>
      </vt:variant>
      <vt:variant>
        <vt:i4>0</vt:i4>
      </vt:variant>
      <vt:variant>
        <vt:i4>5</vt:i4>
      </vt:variant>
      <vt:variant>
        <vt:lpwstr/>
      </vt:variant>
      <vt:variant>
        <vt:lpwstr>_Toc358632569</vt:lpwstr>
      </vt:variant>
      <vt:variant>
        <vt:i4>1048637</vt:i4>
      </vt:variant>
      <vt:variant>
        <vt:i4>32</vt:i4>
      </vt:variant>
      <vt:variant>
        <vt:i4>0</vt:i4>
      </vt:variant>
      <vt:variant>
        <vt:i4>5</vt:i4>
      </vt:variant>
      <vt:variant>
        <vt:lpwstr/>
      </vt:variant>
      <vt:variant>
        <vt:lpwstr>_Toc358632568</vt:lpwstr>
      </vt:variant>
      <vt:variant>
        <vt:i4>1048637</vt:i4>
      </vt:variant>
      <vt:variant>
        <vt:i4>26</vt:i4>
      </vt:variant>
      <vt:variant>
        <vt:i4>0</vt:i4>
      </vt:variant>
      <vt:variant>
        <vt:i4>5</vt:i4>
      </vt:variant>
      <vt:variant>
        <vt:lpwstr/>
      </vt:variant>
      <vt:variant>
        <vt:lpwstr>_Toc358632567</vt:lpwstr>
      </vt:variant>
      <vt:variant>
        <vt:i4>1048637</vt:i4>
      </vt:variant>
      <vt:variant>
        <vt:i4>20</vt:i4>
      </vt:variant>
      <vt:variant>
        <vt:i4>0</vt:i4>
      </vt:variant>
      <vt:variant>
        <vt:i4>5</vt:i4>
      </vt:variant>
      <vt:variant>
        <vt:lpwstr/>
      </vt:variant>
      <vt:variant>
        <vt:lpwstr>_Toc358632566</vt:lpwstr>
      </vt:variant>
      <vt:variant>
        <vt:i4>1048637</vt:i4>
      </vt:variant>
      <vt:variant>
        <vt:i4>14</vt:i4>
      </vt:variant>
      <vt:variant>
        <vt:i4>0</vt:i4>
      </vt:variant>
      <vt:variant>
        <vt:i4>5</vt:i4>
      </vt:variant>
      <vt:variant>
        <vt:lpwstr/>
      </vt:variant>
      <vt:variant>
        <vt:lpwstr>_Toc358632565</vt:lpwstr>
      </vt:variant>
      <vt:variant>
        <vt:i4>1048637</vt:i4>
      </vt:variant>
      <vt:variant>
        <vt:i4>8</vt:i4>
      </vt:variant>
      <vt:variant>
        <vt:i4>0</vt:i4>
      </vt:variant>
      <vt:variant>
        <vt:i4>5</vt:i4>
      </vt:variant>
      <vt:variant>
        <vt:lpwstr/>
      </vt:variant>
      <vt:variant>
        <vt:lpwstr>_Toc358632564</vt:lpwstr>
      </vt:variant>
      <vt:variant>
        <vt:i4>1048637</vt:i4>
      </vt:variant>
      <vt:variant>
        <vt:i4>2</vt:i4>
      </vt:variant>
      <vt:variant>
        <vt:i4>0</vt:i4>
      </vt:variant>
      <vt:variant>
        <vt:i4>5</vt:i4>
      </vt:variant>
      <vt:variant>
        <vt:lpwstr/>
      </vt:variant>
      <vt:variant>
        <vt:lpwstr>_Toc358632563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Management Handbook</dc:title>
  <dc:subject>A Beginner’s Guide to Managing Grants Administered by the Texas Education Agency</dc:subject>
  <dc:creator>Virginia Beck</dc:creator>
  <cp:lastModifiedBy>Murray, Trisha</cp:lastModifiedBy>
  <cp:revision>2</cp:revision>
  <cp:lastPrinted>2013-07-11T19:52:00Z</cp:lastPrinted>
  <dcterms:created xsi:type="dcterms:W3CDTF">2014-12-01T15:52:00Z</dcterms:created>
  <dcterms:modified xsi:type="dcterms:W3CDTF">2014-12-01T15:52:00Z</dcterms:modified>
</cp:coreProperties>
</file>